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5D" w:rsidRPr="00CC1D91" w:rsidRDefault="00CB58F7">
      <w:pPr>
        <w:spacing w:after="38" w:line="259" w:lineRule="auto"/>
        <w:ind w:left="0" w:right="7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Příloha </w:t>
      </w:r>
      <w:proofErr w:type="gramStart"/>
      <w:r w:rsidRPr="00CC1D91">
        <w:rPr>
          <w:rFonts w:ascii="EON Brix Sans" w:eastAsia="PoloR" w:hAnsi="EON Brix Sans" w:cs="PoloR"/>
          <w:b/>
          <w:sz w:val="22"/>
        </w:rPr>
        <w:t xml:space="preserve">- </w:t>
      </w:r>
      <w:r w:rsidRPr="00CC1D91">
        <w:rPr>
          <w:rFonts w:ascii="EON Brix Sans" w:hAnsi="EON Brix Sans"/>
          <w:b/>
          <w:sz w:val="22"/>
        </w:rPr>
        <w:t xml:space="preserve"> </w:t>
      </w:r>
      <w:r w:rsidRPr="00CC1D91">
        <w:rPr>
          <w:rFonts w:ascii="EON Brix Sans" w:eastAsia="PoloR" w:hAnsi="EON Brix Sans" w:cs="PoloR"/>
          <w:b/>
          <w:sz w:val="22"/>
        </w:rPr>
        <w:t>Technicko</w:t>
      </w:r>
      <w:proofErr w:type="gramEnd"/>
      <w:r w:rsidRPr="00CC1D91">
        <w:rPr>
          <w:rFonts w:ascii="EON Brix Sans" w:eastAsia="PoloR" w:hAnsi="EON Brix Sans" w:cs="PoloR"/>
          <w:b/>
          <w:sz w:val="22"/>
        </w:rPr>
        <w:t xml:space="preserve">-organizační opatření bezpečnosti informací a ochrany osobních údajů </w:t>
      </w:r>
    </w:p>
    <w:p w:rsidR="00B2385D" w:rsidRPr="00CC1D91" w:rsidRDefault="00CB58F7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</w:t>
      </w:r>
      <w:proofErr w:type="spellStart"/>
      <w:r w:rsidRPr="00CC1D91">
        <w:rPr>
          <w:rFonts w:ascii="EON Brix Sans" w:hAnsi="EON Brix Sans"/>
          <w:sz w:val="22"/>
        </w:rPr>
        <w:t>spyware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Úroveň aktuálnosti bezpečnostních záplat (tzv. </w:t>
      </w:r>
      <w:proofErr w:type="spellStart"/>
      <w:r w:rsidRPr="00CC1D91">
        <w:rPr>
          <w:rFonts w:ascii="EON Brix Sans" w:hAnsi="EON Brix Sans"/>
          <w:b/>
          <w:sz w:val="22"/>
        </w:rPr>
        <w:t>patchů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</w:t>
      </w:r>
      <w:proofErr w:type="spellStart"/>
      <w:r w:rsidRPr="00CC1D91">
        <w:rPr>
          <w:rFonts w:ascii="EON Brix Sans" w:hAnsi="EON Brix Sans"/>
          <w:sz w:val="22"/>
        </w:rPr>
        <w:t>virtualizačních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hypervisorů</w:t>
      </w:r>
      <w:proofErr w:type="spellEnd"/>
      <w:r w:rsidRPr="00CC1D91">
        <w:rPr>
          <w:rFonts w:ascii="EON Brix Sans" w:hAnsi="EON Brix Sans"/>
          <w:sz w:val="22"/>
        </w:rPr>
        <w:t xml:space="preserve">, virtuálních počítačů, operačních systémů a aplikací, pokud to nepříznivě neovlivní zachování důvěrnosti, integrity nebo dostupnosti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</w:t>
      </w:r>
      <w:proofErr w:type="gramStart"/>
      <w:r w:rsidRPr="00CC1D91">
        <w:rPr>
          <w:rFonts w:ascii="EON Brix Sans" w:hAnsi="EON Brix Sans"/>
          <w:sz w:val="22"/>
        </w:rPr>
        <w:t>být</w:t>
      </w:r>
      <w:proofErr w:type="gramEnd"/>
      <w:r w:rsidRPr="00CC1D91">
        <w:rPr>
          <w:rFonts w:ascii="EON Brix Sans" w:hAnsi="EON Brix Sans"/>
          <w:sz w:val="22"/>
        </w:rPr>
        <w:t xml:space="preserve"> pokud možno také odděleny od segmentů s vysokou úrovní ochrany a vůči těmto segmentům zabezpečeny.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</w:t>
      </w:r>
      <w:proofErr w:type="gramStart"/>
      <w:r w:rsidRPr="00CC1D91">
        <w:rPr>
          <w:rFonts w:ascii="EON Brix Sans" w:hAnsi="EON Brix Sans"/>
          <w:sz w:val="22"/>
        </w:rPr>
        <w:t>z  médií</w:t>
      </w:r>
      <w:proofErr w:type="gramEnd"/>
      <w:r w:rsidRPr="00CC1D91">
        <w:rPr>
          <w:rFonts w:ascii="EON Brix Sans" w:hAnsi="EON Brix Sans"/>
          <w:sz w:val="22"/>
        </w:rPr>
        <w:t>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proofErr w:type="spellStart"/>
      <w:r w:rsidRPr="00CC1D91">
        <w:rPr>
          <w:rFonts w:ascii="EON Brix Sans" w:hAnsi="EON Brix Sans"/>
          <w:sz w:val="22"/>
        </w:rPr>
        <w:t>Anonymizace</w:t>
      </w:r>
      <w:proofErr w:type="spellEnd"/>
      <w:r w:rsidRPr="00CC1D91">
        <w:rPr>
          <w:rFonts w:ascii="EON Brix Sans" w:hAnsi="EON Brix Sans"/>
          <w:sz w:val="22"/>
        </w:rPr>
        <w:t xml:space="preserve"> / </w:t>
      </w:r>
      <w:proofErr w:type="spellStart"/>
      <w:r w:rsidRPr="00CC1D91">
        <w:rPr>
          <w:rFonts w:ascii="EON Brix Sans" w:hAnsi="EON Brix Sans"/>
          <w:sz w:val="22"/>
        </w:rPr>
        <w:t>pseudonymizace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Pro potřeby přenosu osobních údajů jsou využívány techniky </w:t>
      </w:r>
      <w:proofErr w:type="spellStart"/>
      <w:r w:rsidRPr="00CC1D91">
        <w:rPr>
          <w:rFonts w:ascii="EON Brix Sans" w:hAnsi="EON Brix Sans"/>
          <w:sz w:val="22"/>
        </w:rPr>
        <w:t>anonymizace</w:t>
      </w:r>
      <w:proofErr w:type="spellEnd"/>
      <w:r w:rsidRPr="00CC1D91">
        <w:rPr>
          <w:rFonts w:ascii="EON Brix Sans" w:hAnsi="EON Brix Sans"/>
          <w:sz w:val="22"/>
        </w:rPr>
        <w:t xml:space="preserve"> a </w:t>
      </w:r>
      <w:proofErr w:type="spellStart"/>
      <w:r w:rsidRPr="00CC1D91">
        <w:rPr>
          <w:rFonts w:ascii="EON Brix Sans" w:hAnsi="EON Brix Sans"/>
          <w:sz w:val="22"/>
        </w:rPr>
        <w:t>pseudonymizace</w:t>
      </w:r>
      <w:proofErr w:type="spellEnd"/>
      <w:r w:rsidR="005867EF">
        <w:rPr>
          <w:rFonts w:ascii="EON Brix Sans" w:hAnsi="EON Brix Sans"/>
          <w:sz w:val="22"/>
        </w:rPr>
        <w:t xml:space="preserve"> – pokud je to možné.</w:t>
      </w:r>
    </w:p>
    <w:p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</w:t>
      </w:r>
      <w:proofErr w:type="spellStart"/>
      <w:r w:rsidRPr="00CC1D91">
        <w:rPr>
          <w:rFonts w:ascii="EON Brix Sans" w:hAnsi="EON Brix Sans"/>
          <w:sz w:val="22"/>
        </w:rPr>
        <w:t>pseudonymizace</w:t>
      </w:r>
      <w:proofErr w:type="spellEnd"/>
      <w:r w:rsidRPr="00CC1D91">
        <w:rPr>
          <w:rFonts w:ascii="EON Brix Sans" w:hAnsi="EON Brix Sans"/>
          <w:sz w:val="22"/>
        </w:rPr>
        <w:t xml:space="preserve"> údajů je nutné zajistit, aby pseudonym nebyl příjemci zasílán společně se skutečným jménem.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</w:t>
      </w:r>
      <w:r w:rsidRPr="00161FD3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bookmarkStart w:id="0" w:name="_GoBack"/>
      <w:bookmarkEnd w:id="0"/>
      <w:r w:rsidRPr="00CC1D91">
        <w:rPr>
          <w:rFonts w:ascii="EON Brix Sans" w:hAnsi="EON Brix Sans"/>
          <w:sz w:val="22"/>
        </w:rPr>
        <w:t xml:space="preserve">). </w:t>
      </w:r>
    </w:p>
    <w:p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Správa bezpečnostních záplat: výměna informací o dohodnutých časových obdobích údržby a instalace bezpečnostních záplat (tzv. „</w:t>
      </w:r>
      <w:proofErr w:type="spellStart"/>
      <w:r w:rsidRPr="00CC1D91">
        <w:rPr>
          <w:rFonts w:ascii="EON Brix Sans" w:hAnsi="EON Brix Sans"/>
          <w:sz w:val="22"/>
        </w:rPr>
        <w:t>patchů</w:t>
      </w:r>
      <w:proofErr w:type="spellEnd"/>
      <w:r w:rsidRPr="00CC1D91">
        <w:rPr>
          <w:rFonts w:ascii="EON Brix Sans" w:hAnsi="EON Brix Sans"/>
          <w:sz w:val="22"/>
        </w:rPr>
        <w:t xml:space="preserve">“).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:rsidR="00B2385D" w:rsidRPr="00CC1D91" w:rsidRDefault="00CB58F7">
      <w:pPr>
        <w:tabs>
          <w:tab w:val="center" w:pos="1484"/>
          <w:tab w:val="center" w:pos="2720"/>
          <w:tab w:val="center" w:pos="3401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footerReference w:type="even" r:id="rId7"/>
      <w:footerReference w:type="default" r:id="rId8"/>
      <w:footerReference w:type="first" r:id="rId9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9E" w:rsidRDefault="00CB58F7">
      <w:pPr>
        <w:spacing w:after="0" w:line="240" w:lineRule="auto"/>
      </w:pPr>
      <w:r>
        <w:separator/>
      </w:r>
    </w:p>
  </w:endnote>
  <w:endnote w:type="continuationSeparator" w:id="0">
    <w:p w:rsidR="0006459E" w:rsidRDefault="00C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9E" w:rsidRDefault="00CB58F7">
      <w:pPr>
        <w:spacing w:after="0" w:line="240" w:lineRule="auto"/>
      </w:pPr>
      <w:r>
        <w:separator/>
      </w:r>
    </w:p>
  </w:footnote>
  <w:footnote w:type="continuationSeparator" w:id="0">
    <w:p w:rsidR="0006459E" w:rsidRDefault="00CB5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6459E"/>
    <w:rsid w:val="000841FA"/>
    <w:rsid w:val="00161FD3"/>
    <w:rsid w:val="00203386"/>
    <w:rsid w:val="00365B42"/>
    <w:rsid w:val="005867EF"/>
    <w:rsid w:val="009F0009"/>
    <w:rsid w:val="00A46655"/>
    <w:rsid w:val="00B2385D"/>
    <w:rsid w:val="00B30F20"/>
    <w:rsid w:val="00CB58F7"/>
    <w:rsid w:val="00CC1D91"/>
    <w:rsid w:val="00D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7FE9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3573</Words>
  <Characters>21087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Veselý, Jindřich</cp:lastModifiedBy>
  <cp:revision>10</cp:revision>
  <dcterms:created xsi:type="dcterms:W3CDTF">2019-09-03T11:45:00Z</dcterms:created>
  <dcterms:modified xsi:type="dcterms:W3CDTF">2019-09-06T13:47:00Z</dcterms:modified>
</cp:coreProperties>
</file>