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5468241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bookmarkStart w:id="0" w:name="_GoBack"/>
      <w:bookmarkEnd w:id="0"/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FF70D9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1" w:name="_Toc489512609"/>
      <w:bookmarkStart w:id="2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1"/>
      <w:bookmarkEnd w:id="2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3" w:name="_Toc489512610"/>
      <w:bookmarkStart w:id="4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3"/>
      <w:bookmarkEnd w:id="4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07CB5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07CB5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5" w:name="_Toc489512611"/>
      <w:bookmarkStart w:id="6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5"/>
      <w:bookmarkEnd w:id="6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7" w:name="_Toc489512612"/>
      <w:bookmarkStart w:id="8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7"/>
      <w:bookmarkEnd w:id="8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9" w:name="_Toc489512613"/>
      <w:bookmarkStart w:id="10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9"/>
      <w:bookmarkEnd w:id="10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1" w:name="_Toc489512614"/>
      <w:bookmarkStart w:id="12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1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2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3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3"/>
    </w:p>
    <w:p w14:paraId="6D75454A" w14:textId="6A028CD9" w:rsidR="004F7BCF" w:rsidRPr="00E41894" w:rsidRDefault="00FF70D9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4" w:name="_Toc489512615"/>
      <w:bookmarkStart w:id="15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4"/>
      <w:bookmarkEnd w:id="15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6" w:name="_Toc534876764"/>
      <w:bookmarkStart w:id="17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6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7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8" w:name="_Toc489512617"/>
      <w:bookmarkStart w:id="19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8"/>
      <w:bookmarkEnd w:id="19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20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20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1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489512619"/>
      <w:bookmarkStart w:id="23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2"/>
      <w:bookmarkEnd w:id="23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3934495D" w14:textId="7457E9E6"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p w14:paraId="6BB50A66" w14:textId="77777777" w:rsidR="00EB4BD1" w:rsidRPr="00E41894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E41894" w:rsidRPr="00E41894" w14:paraId="3837DEEB" w14:textId="77777777" w:rsidTr="005D76B0">
        <w:trPr>
          <w:jc w:val="center"/>
        </w:trPr>
        <w:tc>
          <w:tcPr>
            <w:tcW w:w="4715" w:type="dxa"/>
          </w:tcPr>
          <w:p w14:paraId="334B4572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  <w:szCs w:val="22"/>
              </w:rPr>
              <w:t>Objednatel</w:t>
            </w:r>
          </w:p>
          <w:p w14:paraId="69B3E2BB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50E023E" w14:textId="5B0D291A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 xml:space="preserve">V Brně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14:paraId="7578C3FC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50394FB" w14:textId="77777777"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  <w:tc>
          <w:tcPr>
            <w:tcW w:w="4357" w:type="dxa"/>
          </w:tcPr>
          <w:p w14:paraId="65773387" w14:textId="3EC2F399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  <w:szCs w:val="22"/>
              </w:rPr>
              <w:t>Zhotovitel</w:t>
            </w:r>
            <w:r w:rsidR="004214FC" w:rsidRPr="00E41894">
              <w:rPr>
                <w:rFonts w:asciiTheme="minorHAnsi" w:hAnsiTheme="minorHAnsi"/>
                <w:szCs w:val="22"/>
              </w:rPr>
              <w:t xml:space="preserve"> </w:t>
            </w:r>
          </w:p>
          <w:p w14:paraId="2900B3C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AFDF585" w14:textId="7D77A33C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V 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  <w:r w:rsidRPr="00E41894">
              <w:rPr>
                <w:rFonts w:asciiTheme="minorHAnsi" w:hAnsiTheme="minorHAnsi"/>
              </w:rPr>
              <w:t xml:space="preserve">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14:paraId="1BC0BE71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C56C7B2" w14:textId="77777777"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</w:tr>
      <w:tr w:rsidR="00E41894" w:rsidRPr="00E41894" w14:paraId="479F39C9" w14:textId="77777777" w:rsidTr="005D76B0">
        <w:trPr>
          <w:jc w:val="center"/>
        </w:trPr>
        <w:tc>
          <w:tcPr>
            <w:tcW w:w="4715" w:type="dxa"/>
            <w:hideMark/>
          </w:tcPr>
          <w:p w14:paraId="526F9C63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ECF5297" w14:textId="2728C77E" w:rsidR="00DE2FB1" w:rsidRPr="00E41894" w:rsidRDefault="00707CB5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EG.D, a.s.</w:t>
            </w:r>
          </w:p>
          <w:p w14:paraId="12A02F6B" w14:textId="478CBDCE" w:rsidR="00DE2FB1" w:rsidRPr="00E41894" w:rsidRDefault="006554EB" w:rsidP="00B66570">
            <w:pPr>
              <w:pStyle w:val="RLdajeosmluvnstran"/>
              <w:keepNext/>
            </w:pPr>
            <w:r w:rsidRPr="00E41894">
              <w:t>Ing. Zdeněk Bauer</w:t>
            </w:r>
          </w:p>
          <w:p w14:paraId="2647D711" w14:textId="714078C9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i/>
              </w:rPr>
            </w:pPr>
            <w:r w:rsidRPr="00E41894">
              <w:t>předseda představenstva</w:t>
            </w:r>
          </w:p>
        </w:tc>
        <w:tc>
          <w:tcPr>
            <w:tcW w:w="4357" w:type="dxa"/>
          </w:tcPr>
          <w:p w14:paraId="2D126DAF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</w:t>
            </w:r>
          </w:p>
          <w:p w14:paraId="2FB90C81" w14:textId="77777777" w:rsidR="00CF737B" w:rsidRPr="008506C1" w:rsidRDefault="00CF737B" w:rsidP="00CF737B">
            <w:pPr>
              <w:keepNext/>
              <w:ind w:left="1276"/>
              <w:jc w:val="center"/>
              <w:rPr>
                <w:rFonts w:asciiTheme="minorHAnsi" w:hAnsiTheme="minorHAnsi"/>
                <w:b/>
              </w:rPr>
            </w:pPr>
            <w:r w:rsidRPr="008506C1">
              <w:rPr>
                <w:rFonts w:asciiTheme="minorHAnsi" w:hAnsiTheme="minorHAnsi"/>
                <w:b/>
                <w:highlight w:val="yellow"/>
              </w:rPr>
              <w:t>[ ● DOPLNÍ ÚČASTNÍK V NABÍDCE]</w:t>
            </w:r>
          </w:p>
          <w:p w14:paraId="32BF31C4" w14:textId="15A2F4B1" w:rsidR="00DE2FB1" w:rsidRPr="00E41894" w:rsidRDefault="00F85BD0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</w:rPr>
              <w:t>jednatel</w:t>
            </w:r>
          </w:p>
          <w:p w14:paraId="6BE4E7D8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</w:tc>
      </w:tr>
      <w:tr w:rsidR="00E41894" w:rsidRPr="00E41894" w14:paraId="29B00ADE" w14:textId="77777777" w:rsidTr="005D76B0">
        <w:trPr>
          <w:jc w:val="center"/>
        </w:trPr>
        <w:tc>
          <w:tcPr>
            <w:tcW w:w="4715" w:type="dxa"/>
          </w:tcPr>
          <w:p w14:paraId="4278B8A6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2C508FF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E41894" w:rsidRPr="00E41894" w14:paraId="34EBD274" w14:textId="77777777" w:rsidTr="005D76B0">
        <w:trPr>
          <w:jc w:val="center"/>
        </w:trPr>
        <w:tc>
          <w:tcPr>
            <w:tcW w:w="4715" w:type="dxa"/>
          </w:tcPr>
          <w:p w14:paraId="619D9E18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76C6E871" w14:textId="78EA656D" w:rsidR="00DE2FB1" w:rsidRPr="00E41894" w:rsidRDefault="00707CB5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EG.D, a.s.</w:t>
            </w:r>
          </w:p>
          <w:p w14:paraId="47D01C34" w14:textId="77777777" w:rsidR="00DE2FB1" w:rsidRPr="00E41894" w:rsidRDefault="00DE2FB1" w:rsidP="00B66570">
            <w:pPr>
              <w:pStyle w:val="RLdajeosmluvnstran"/>
              <w:keepNext/>
            </w:pPr>
            <w:r w:rsidRPr="00E41894">
              <w:t>Ing. Pavel Čada, Ph.D.</w:t>
            </w:r>
          </w:p>
          <w:p w14:paraId="15D6D920" w14:textId="77EFCB23" w:rsidR="00DE2FB1" w:rsidRPr="00E41894" w:rsidRDefault="0085069A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t>místopředseda</w:t>
            </w:r>
            <w:r w:rsidR="00DE2FB1" w:rsidRPr="00E41894">
              <w:t xml:space="preserve"> představenstva</w:t>
            </w:r>
          </w:p>
        </w:tc>
        <w:tc>
          <w:tcPr>
            <w:tcW w:w="4357" w:type="dxa"/>
          </w:tcPr>
          <w:p w14:paraId="6E54591E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DE2FB1" w:rsidRPr="00E41894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1352D" w14:textId="77777777" w:rsidR="00FF70D9" w:rsidRDefault="00FF70D9" w:rsidP="00B436A8">
      <w:pPr>
        <w:spacing w:after="0" w:line="240" w:lineRule="auto"/>
      </w:pPr>
      <w:r>
        <w:separator/>
      </w:r>
    </w:p>
  </w:endnote>
  <w:endnote w:type="continuationSeparator" w:id="0">
    <w:p w14:paraId="16C8C263" w14:textId="77777777" w:rsidR="00FF70D9" w:rsidRDefault="00FF70D9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580D5" w14:textId="77777777" w:rsidR="00FF70D9" w:rsidRDefault="00FF70D9" w:rsidP="00B436A8">
      <w:pPr>
        <w:spacing w:after="0" w:line="240" w:lineRule="auto"/>
      </w:pPr>
      <w:r>
        <w:separator/>
      </w:r>
    </w:p>
  </w:footnote>
  <w:footnote w:type="continuationSeparator" w:id="0">
    <w:p w14:paraId="40C00493" w14:textId="77777777" w:rsidR="00FF70D9" w:rsidRDefault="00FF70D9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3606</Words>
  <Characters>21278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2021-02-04T16:24:00Z</dcterms:modified>
</cp:coreProperties>
</file>