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4F43E0" w14:textId="6103CF8E" w:rsidR="00327D7B" w:rsidRDefault="00327D7B" w:rsidP="00060B31">
      <w:pPr>
        <w:spacing w:line="280" w:lineRule="atLeast"/>
        <w:rPr>
          <w:rFonts w:cs="Arial"/>
          <w:b/>
          <w:sz w:val="48"/>
          <w:szCs w:val="48"/>
        </w:rPr>
      </w:pPr>
    </w:p>
    <w:p w14:paraId="7DEBE8CD" w14:textId="77777777" w:rsidR="00C36FBC" w:rsidRPr="00DA2C52" w:rsidRDefault="00C36FBC" w:rsidP="00060B31">
      <w:pPr>
        <w:spacing w:line="280" w:lineRule="atLeast"/>
        <w:rPr>
          <w:rFonts w:cs="Arial"/>
          <w:b/>
          <w:sz w:val="48"/>
          <w:szCs w:val="48"/>
        </w:rPr>
      </w:pPr>
    </w:p>
    <w:p w14:paraId="5E4EFE0D"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775230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3CE5389" w14:textId="77777777" w:rsidR="00327D7B" w:rsidRPr="00DA2C52" w:rsidRDefault="00327D7B" w:rsidP="00060B31">
      <w:pPr>
        <w:spacing w:line="280" w:lineRule="atLeast"/>
        <w:rPr>
          <w:rFonts w:cs="Arial"/>
          <w:szCs w:val="20"/>
        </w:rPr>
      </w:pPr>
    </w:p>
    <w:p w14:paraId="1D676FE2" w14:textId="77777777" w:rsidR="00327D7B" w:rsidRPr="00DA2C52" w:rsidRDefault="00327D7B" w:rsidP="00060B31">
      <w:pPr>
        <w:spacing w:line="280" w:lineRule="atLeast"/>
        <w:rPr>
          <w:rFonts w:cs="Arial"/>
          <w:szCs w:val="20"/>
        </w:rPr>
      </w:pPr>
    </w:p>
    <w:p w14:paraId="243C050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2D997B71" w14:textId="77777777" w:rsidR="00327D7B" w:rsidRPr="00DA2C52" w:rsidRDefault="00327D7B" w:rsidP="00060B31">
      <w:pPr>
        <w:spacing w:line="280" w:lineRule="atLeast"/>
        <w:rPr>
          <w:rFonts w:cs="Arial"/>
          <w:szCs w:val="20"/>
        </w:rPr>
      </w:pPr>
    </w:p>
    <w:p w14:paraId="742163BB"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FFBFA4A" w14:textId="77777777" w:rsidR="007542F5" w:rsidRPr="00DA2C52" w:rsidRDefault="00742A8A" w:rsidP="00060B31">
      <w:pPr>
        <w:spacing w:line="280" w:lineRule="atLeast"/>
        <w:rPr>
          <w:b/>
          <w:szCs w:val="20"/>
        </w:rPr>
      </w:pPr>
      <w:r>
        <w:rPr>
          <w:rFonts w:cs="Arial"/>
          <w:b/>
          <w:bCs/>
          <w:iCs/>
          <w:szCs w:val="20"/>
        </w:rPr>
        <w:t>E.ON Distribuce, a.s.</w:t>
      </w:r>
    </w:p>
    <w:p w14:paraId="40BDBE60" w14:textId="77777777" w:rsidR="007542F5" w:rsidRPr="00DA2C52" w:rsidRDefault="007542F5" w:rsidP="00060B31">
      <w:pPr>
        <w:spacing w:line="280" w:lineRule="atLeast"/>
        <w:rPr>
          <w:szCs w:val="20"/>
        </w:rPr>
      </w:pPr>
    </w:p>
    <w:p w14:paraId="4A3D4C61" w14:textId="77777777"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2CA80779" w14:textId="4BABFC2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PhD., </w:t>
      </w:r>
      <w:r w:rsidR="00332348">
        <w:rPr>
          <w:szCs w:val="20"/>
        </w:rPr>
        <w:t>místopředsedou představenstva</w:t>
      </w:r>
    </w:p>
    <w:p w14:paraId="4533657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C7EB54" w14:textId="77777777" w:rsidR="00742A8A" w:rsidRDefault="00742A8A" w:rsidP="00060B31">
      <w:pPr>
        <w:tabs>
          <w:tab w:val="left" w:pos="2160"/>
        </w:tabs>
        <w:spacing w:line="280" w:lineRule="atLeast"/>
        <w:rPr>
          <w:szCs w:val="20"/>
        </w:rPr>
      </w:pPr>
      <w:r>
        <w:rPr>
          <w:szCs w:val="20"/>
        </w:rPr>
        <w:t>DIČ: CZ28085400</w:t>
      </w:r>
    </w:p>
    <w:p w14:paraId="139BEDB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5FFAD35A" w14:textId="77777777" w:rsidR="00327D7B" w:rsidRPr="00DA2C52" w:rsidRDefault="00327D7B" w:rsidP="00925803">
      <w:pPr>
        <w:tabs>
          <w:tab w:val="left" w:pos="2160"/>
        </w:tabs>
        <w:spacing w:after="120"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348B100B" w14:textId="77777777" w:rsidR="00145F4C" w:rsidRPr="00887530" w:rsidRDefault="00167968" w:rsidP="00060B31">
      <w:pPr>
        <w:spacing w:line="280" w:lineRule="atLeast"/>
      </w:pPr>
      <w:r w:rsidRPr="00887530">
        <w:t>kontaktní osoba centrálního skladu Brno: Jitka Nováková</w:t>
      </w:r>
    </w:p>
    <w:p w14:paraId="55F3427F" w14:textId="77777777" w:rsidR="00167968" w:rsidRPr="00887530" w:rsidRDefault="00167968" w:rsidP="00060B31">
      <w:pPr>
        <w:spacing w:line="280" w:lineRule="atLeast"/>
      </w:pPr>
      <w:r w:rsidRPr="00887530">
        <w:t>tel. č.: +420 545542615</w:t>
      </w:r>
    </w:p>
    <w:p w14:paraId="704AED6E" w14:textId="77777777" w:rsidR="00167968" w:rsidRPr="00887530" w:rsidRDefault="00167968" w:rsidP="00060B31">
      <w:pPr>
        <w:spacing w:line="280" w:lineRule="atLeast"/>
        <w:rPr>
          <w:bCs/>
          <w:szCs w:val="20"/>
        </w:rPr>
      </w:pPr>
      <w:r w:rsidRPr="00887530">
        <w:t xml:space="preserve">email: </w:t>
      </w:r>
      <w:hyperlink r:id="rId12" w:history="1">
        <w:r w:rsidRPr="00887530">
          <w:rPr>
            <w:rStyle w:val="Hypertextovodkaz"/>
          </w:rPr>
          <w:t>jitka.novakova@eon.cz</w:t>
        </w:r>
      </w:hyperlink>
    </w:p>
    <w:p w14:paraId="0583995D" w14:textId="77777777" w:rsidR="00167968" w:rsidRPr="00887530" w:rsidRDefault="00167968" w:rsidP="00060B31">
      <w:pPr>
        <w:spacing w:line="280" w:lineRule="atLeast"/>
        <w:rPr>
          <w:bCs/>
          <w:szCs w:val="20"/>
        </w:rPr>
      </w:pPr>
    </w:p>
    <w:p w14:paraId="249F36C4"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0B04B69A"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4EDDEAAA" w14:textId="77777777" w:rsidR="004239B5" w:rsidRDefault="004239B5" w:rsidP="004239B5">
      <w:pPr>
        <w:spacing w:line="280" w:lineRule="atLeast"/>
        <w:rPr>
          <w:bCs/>
          <w:szCs w:val="20"/>
        </w:rPr>
      </w:pPr>
      <w:r w:rsidRPr="00887530">
        <w:rPr>
          <w:color w:val="1F497D"/>
        </w:rPr>
        <w:t xml:space="preserve">email: </w:t>
      </w:r>
      <w:hyperlink r:id="rId13" w:history="1">
        <w:r w:rsidR="00F3795A" w:rsidRPr="00887530">
          <w:rPr>
            <w:rStyle w:val="Hypertextovodkaz"/>
          </w:rPr>
          <w:t>lenka.kubesova@eon.cz</w:t>
        </w:r>
      </w:hyperlink>
    </w:p>
    <w:p w14:paraId="328068DB" w14:textId="77777777" w:rsidR="004239B5" w:rsidRPr="00167968" w:rsidRDefault="004239B5" w:rsidP="00060B31">
      <w:pPr>
        <w:spacing w:line="280" w:lineRule="atLeast"/>
        <w:rPr>
          <w:bCs/>
          <w:szCs w:val="20"/>
        </w:rPr>
      </w:pPr>
    </w:p>
    <w:p w14:paraId="03435F05" w14:textId="77777777" w:rsidR="00167968" w:rsidRPr="00DA2C52" w:rsidRDefault="00167968" w:rsidP="00060B31">
      <w:pPr>
        <w:spacing w:line="280" w:lineRule="atLeast"/>
        <w:rPr>
          <w:b/>
          <w:bCs/>
          <w:szCs w:val="20"/>
        </w:rPr>
      </w:pPr>
    </w:p>
    <w:p w14:paraId="4AA104E7"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1E45F3B4" w14:textId="77777777" w:rsidR="00327D7B" w:rsidRPr="00DA2C52" w:rsidRDefault="00327D7B" w:rsidP="00060B31">
      <w:pPr>
        <w:spacing w:line="280" w:lineRule="atLeast"/>
        <w:rPr>
          <w:rFonts w:cs="Arial"/>
          <w:szCs w:val="20"/>
        </w:rPr>
      </w:pPr>
    </w:p>
    <w:p w14:paraId="7CA30C71" w14:textId="77777777" w:rsidR="00327D7B" w:rsidRPr="00DA2C52" w:rsidRDefault="00327D7B" w:rsidP="00060B31">
      <w:pPr>
        <w:spacing w:line="280" w:lineRule="atLeast"/>
        <w:rPr>
          <w:rFonts w:cs="Arial"/>
          <w:szCs w:val="20"/>
        </w:rPr>
      </w:pPr>
      <w:r w:rsidRPr="00DA2C52">
        <w:rPr>
          <w:rFonts w:cs="Arial"/>
          <w:szCs w:val="20"/>
        </w:rPr>
        <w:t>a</w:t>
      </w:r>
    </w:p>
    <w:p w14:paraId="162132E7" w14:textId="77777777" w:rsidR="00327D7B" w:rsidRPr="00DA2C52" w:rsidRDefault="00327D7B" w:rsidP="00060B31">
      <w:pPr>
        <w:spacing w:line="280" w:lineRule="atLeast"/>
        <w:rPr>
          <w:rFonts w:cs="Arial"/>
          <w:szCs w:val="20"/>
        </w:rPr>
      </w:pPr>
    </w:p>
    <w:p w14:paraId="12AA9878"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35A7F130" w14:textId="77777777"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AB04E2">
        <w:rPr>
          <w:rStyle w:val="platne1"/>
          <w:b/>
          <w:szCs w:val="20"/>
          <w:highlight w:val="green"/>
        </w:rPr>
        <w:t>účastník</w:t>
      </w:r>
    </w:p>
    <w:p w14:paraId="06DC7DC1" w14:textId="77777777" w:rsidR="00327D7B" w:rsidRPr="00DA2C52" w:rsidRDefault="00327D7B" w:rsidP="00060B31">
      <w:pPr>
        <w:spacing w:line="280" w:lineRule="atLeast"/>
        <w:jc w:val="both"/>
        <w:rPr>
          <w:szCs w:val="20"/>
        </w:rPr>
      </w:pPr>
      <w:r w:rsidRPr="00DA2C52">
        <w:rPr>
          <w:szCs w:val="20"/>
        </w:rPr>
        <w:tab/>
      </w:r>
    </w:p>
    <w:p w14:paraId="53D11B3F"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180F1A54"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1671C536"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25A7610A"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21428DDB"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1148E081"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33D97574"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387BACA5"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7B9B170C"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07D010CA" w14:textId="77777777" w:rsidR="00145F4C" w:rsidRPr="00DA2C52" w:rsidRDefault="00145F4C" w:rsidP="00060B31">
      <w:pPr>
        <w:spacing w:line="280" w:lineRule="atLeast"/>
        <w:jc w:val="both"/>
        <w:rPr>
          <w:szCs w:val="20"/>
        </w:rPr>
      </w:pPr>
    </w:p>
    <w:p w14:paraId="5420B860"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064E0E0D" w14:textId="77777777" w:rsidR="00327D7B" w:rsidRPr="00DA2C52" w:rsidRDefault="00327D7B" w:rsidP="00060B31">
      <w:pPr>
        <w:spacing w:line="280" w:lineRule="atLeast"/>
        <w:jc w:val="both"/>
        <w:rPr>
          <w:szCs w:val="22"/>
        </w:rPr>
      </w:pPr>
    </w:p>
    <w:p w14:paraId="7B7DADA9"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1F7C1B4A" w14:textId="77777777" w:rsidR="00AB04E2" w:rsidRDefault="00AB04E2" w:rsidP="00C50570">
      <w:pPr>
        <w:pStyle w:val="Zkladntext21"/>
        <w:spacing w:line="280" w:lineRule="atLeast"/>
        <w:ind w:left="0" w:firstLine="0"/>
        <w:jc w:val="both"/>
        <w:rPr>
          <w:rFonts w:ascii="Arial" w:hAnsi="Arial" w:cs="Arial"/>
          <w:sz w:val="20"/>
        </w:rPr>
      </w:pPr>
    </w:p>
    <w:p w14:paraId="772FB920" w14:textId="77777777"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7CDDF942" w14:textId="77777777" w:rsidR="00327D7B" w:rsidRPr="00DA2C52" w:rsidRDefault="00327D7B" w:rsidP="00060B31">
      <w:pPr>
        <w:spacing w:line="280" w:lineRule="atLeast"/>
        <w:jc w:val="center"/>
        <w:rPr>
          <w:b/>
          <w:sz w:val="24"/>
        </w:rPr>
      </w:pPr>
    </w:p>
    <w:p w14:paraId="6AB043E6"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0729B031" w14:textId="77777777" w:rsidR="00327D7B" w:rsidRPr="00DA2C52" w:rsidRDefault="00327D7B" w:rsidP="00060B31">
      <w:pPr>
        <w:spacing w:line="280" w:lineRule="atLeast"/>
        <w:jc w:val="center"/>
        <w:rPr>
          <w:rFonts w:cs="Arial"/>
          <w:b/>
          <w:szCs w:val="20"/>
        </w:rPr>
      </w:pPr>
    </w:p>
    <w:p w14:paraId="6558EEE9" w14:textId="77777777"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 xml:space="preserve">Dodávky </w:t>
      </w:r>
      <w:proofErr w:type="spellStart"/>
      <w:r w:rsidR="00925803">
        <w:rPr>
          <w:rFonts w:ascii="Arial" w:hAnsi="Arial" w:cs="Arial"/>
          <w:b/>
          <w:bCs/>
          <w:iCs/>
          <w:sz w:val="20"/>
          <w:szCs w:val="20"/>
        </w:rPr>
        <w:t>recloserů</w:t>
      </w:r>
      <w:proofErr w:type="spellEnd"/>
      <w:r w:rsidR="00925803">
        <w:rPr>
          <w:rFonts w:ascii="Arial" w:hAnsi="Arial" w:cs="Arial"/>
          <w:b/>
          <w:bCs/>
          <w:iCs/>
          <w:sz w:val="20"/>
          <w:szCs w:val="20"/>
        </w:rPr>
        <w:t xml:space="preserve"> s prvky DOS</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1FD259CE" w14:textId="77777777" w:rsidR="00F1687F" w:rsidRDefault="00F1687F" w:rsidP="00060B31">
      <w:pPr>
        <w:pStyle w:val="Bezmezer"/>
        <w:tabs>
          <w:tab w:val="num" w:pos="1440"/>
        </w:tabs>
        <w:spacing w:line="280" w:lineRule="atLeast"/>
        <w:jc w:val="both"/>
        <w:rPr>
          <w:rFonts w:ascii="Arial" w:hAnsi="Arial" w:cs="Arial"/>
          <w:sz w:val="20"/>
          <w:szCs w:val="20"/>
        </w:rPr>
      </w:pPr>
    </w:p>
    <w:p w14:paraId="63CC02A9" w14:textId="77777777" w:rsidR="00F1687F" w:rsidRDefault="00F1687F" w:rsidP="00060B31">
      <w:pPr>
        <w:pStyle w:val="Bezmezer"/>
        <w:tabs>
          <w:tab w:val="num" w:pos="1440"/>
        </w:tabs>
        <w:spacing w:line="280" w:lineRule="atLeast"/>
        <w:jc w:val="both"/>
        <w:rPr>
          <w:rFonts w:ascii="Arial" w:hAnsi="Arial" w:cs="Arial"/>
          <w:sz w:val="20"/>
          <w:szCs w:val="20"/>
        </w:rPr>
      </w:pPr>
    </w:p>
    <w:p w14:paraId="248EEA88" w14:textId="77777777" w:rsidR="00F1687F" w:rsidRDefault="00F1687F" w:rsidP="00060B31">
      <w:pPr>
        <w:pStyle w:val="Bezmezer"/>
        <w:tabs>
          <w:tab w:val="num" w:pos="1440"/>
        </w:tabs>
        <w:spacing w:line="280" w:lineRule="atLeast"/>
        <w:jc w:val="both"/>
        <w:rPr>
          <w:rFonts w:ascii="Arial" w:hAnsi="Arial" w:cs="Arial"/>
          <w:sz w:val="20"/>
          <w:szCs w:val="20"/>
        </w:rPr>
      </w:pPr>
    </w:p>
    <w:p w14:paraId="19C834C8"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309D9A2C" w14:textId="77777777" w:rsidR="00F1687F" w:rsidRPr="00B92F08" w:rsidRDefault="00F1687F" w:rsidP="00F1687F">
      <w:pPr>
        <w:pStyle w:val="Bezmezer"/>
        <w:tabs>
          <w:tab w:val="num" w:pos="1440"/>
        </w:tabs>
        <w:spacing w:line="280" w:lineRule="atLeast"/>
        <w:jc w:val="both"/>
        <w:rPr>
          <w:rFonts w:ascii="Arial" w:hAnsi="Arial"/>
          <w:sz w:val="20"/>
        </w:rPr>
      </w:pPr>
    </w:p>
    <w:p w14:paraId="293068B2"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412D3EEB"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FD3976E"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736563E6"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13B66206"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31D54BA7" w14:textId="5C5BC653" w:rsidR="00917516"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„DOS“</w:t>
      </w:r>
      <w:r>
        <w:rPr>
          <w:rFonts w:ascii="Arial" w:hAnsi="Arial" w:cs="Arial"/>
          <w:sz w:val="20"/>
          <w:szCs w:val="20"/>
        </w:rPr>
        <w:t xml:space="preserve"> dálkové ovládání spínačů;</w:t>
      </w:r>
    </w:p>
    <w:p w14:paraId="5EC41CCF" w14:textId="77777777" w:rsidR="00060B31" w:rsidRPr="00DA2C52"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„IED“</w:t>
      </w:r>
      <w:r>
        <w:rPr>
          <w:rFonts w:ascii="Arial" w:hAnsi="Arial" w:cs="Arial"/>
          <w:sz w:val="20"/>
          <w:szCs w:val="20"/>
        </w:rPr>
        <w:t xml:space="preserve"> řídící a monitorovací jednotka</w:t>
      </w:r>
      <w:r w:rsidR="00BF1705">
        <w:rPr>
          <w:rFonts w:ascii="Arial" w:hAnsi="Arial" w:cs="Arial"/>
          <w:sz w:val="20"/>
          <w:szCs w:val="20"/>
        </w:rPr>
        <w:t>.</w:t>
      </w:r>
    </w:p>
    <w:p w14:paraId="2492148E" w14:textId="77777777" w:rsidR="00D426DC" w:rsidRDefault="00D426DC" w:rsidP="00060B31">
      <w:pPr>
        <w:spacing w:line="280" w:lineRule="atLeast"/>
        <w:jc w:val="center"/>
        <w:rPr>
          <w:rFonts w:cs="Arial"/>
          <w:b/>
          <w:szCs w:val="20"/>
        </w:rPr>
      </w:pPr>
    </w:p>
    <w:p w14:paraId="132B5FE2" w14:textId="77777777" w:rsidR="00327D7B" w:rsidRPr="00DA2C52" w:rsidRDefault="00327D7B" w:rsidP="00060B31">
      <w:pPr>
        <w:spacing w:line="280" w:lineRule="atLeast"/>
        <w:jc w:val="center"/>
        <w:rPr>
          <w:rFonts w:cs="Arial"/>
          <w:b/>
          <w:szCs w:val="20"/>
        </w:rPr>
      </w:pPr>
      <w:r w:rsidRPr="00DA2C52">
        <w:rPr>
          <w:rFonts w:cs="Arial"/>
          <w:b/>
          <w:szCs w:val="20"/>
        </w:rPr>
        <w:t>I.</w:t>
      </w:r>
    </w:p>
    <w:p w14:paraId="020A21D8"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9C10C8C" w14:textId="77777777" w:rsidR="00327D7B" w:rsidRPr="00DA2C52" w:rsidRDefault="00327D7B" w:rsidP="00060B31">
      <w:pPr>
        <w:spacing w:line="280" w:lineRule="atLeast"/>
        <w:jc w:val="both"/>
        <w:rPr>
          <w:rFonts w:cs="Arial"/>
          <w:szCs w:val="20"/>
        </w:rPr>
      </w:pPr>
    </w:p>
    <w:p w14:paraId="5E0B2FBA" w14:textId="37D5EA82" w:rsidR="00057E3E"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louvy j</w:t>
      </w:r>
      <w:r w:rsidR="00770BBC">
        <w:rPr>
          <w:rFonts w:cs="Arial"/>
          <w:szCs w:val="20"/>
        </w:rPr>
        <w:t>sou</w:t>
      </w:r>
      <w:r w:rsidR="007542F5" w:rsidRPr="00DA2C52">
        <w:rPr>
          <w:rFonts w:cs="Arial"/>
          <w:szCs w:val="20"/>
        </w:rPr>
        <w:t xml:space="preserve"> </w:t>
      </w:r>
      <w:r w:rsidR="00A51E00">
        <w:rPr>
          <w:rFonts w:cs="Arial"/>
          <w:szCs w:val="20"/>
        </w:rPr>
        <w:t>dodávk</w:t>
      </w:r>
      <w:r w:rsidR="00770BBC">
        <w:rPr>
          <w:rFonts w:cs="Arial"/>
          <w:szCs w:val="20"/>
        </w:rPr>
        <w:t>y</w:t>
      </w:r>
      <w:r w:rsidR="0012113D">
        <w:rPr>
          <w:rFonts w:cs="Arial"/>
          <w:szCs w:val="20"/>
        </w:rPr>
        <w:t xml:space="preserve"> </w:t>
      </w:r>
      <w:proofErr w:type="spellStart"/>
      <w:r w:rsidR="00F21827">
        <w:rPr>
          <w:rFonts w:cs="Arial"/>
          <w:b/>
          <w:szCs w:val="20"/>
        </w:rPr>
        <w:t>recloserů</w:t>
      </w:r>
      <w:proofErr w:type="spellEnd"/>
      <w:r w:rsidR="00770BBC">
        <w:rPr>
          <w:rFonts w:cs="Arial"/>
          <w:b/>
          <w:szCs w:val="20"/>
        </w:rPr>
        <w:t>, tedy vypínačů venkovního vedení VN včetně ovládací skříně</w:t>
      </w:r>
      <w:r w:rsidR="00F21827">
        <w:rPr>
          <w:rFonts w:cs="Arial"/>
          <w:b/>
          <w:szCs w:val="20"/>
        </w:rPr>
        <w:t xml:space="preserve"> </w:t>
      </w:r>
      <w:r w:rsidR="00770BBC">
        <w:rPr>
          <w:rFonts w:cs="Arial"/>
          <w:b/>
          <w:szCs w:val="20"/>
        </w:rPr>
        <w:t>se zařízením</w:t>
      </w:r>
      <w:r w:rsidR="00F21827">
        <w:rPr>
          <w:rFonts w:cs="Arial"/>
          <w:b/>
          <w:szCs w:val="20"/>
        </w:rPr>
        <w:t xml:space="preserve"> </w:t>
      </w:r>
      <w:r w:rsidR="00770BBC">
        <w:rPr>
          <w:rFonts w:cs="Arial"/>
          <w:b/>
          <w:szCs w:val="20"/>
        </w:rPr>
        <w:t>dálkového ovládání spínačů (DOS) s řídící a monitorovací jednotkou (IED)</w:t>
      </w:r>
      <w:r w:rsidR="00F14C44">
        <w:rPr>
          <w:rFonts w:cs="Arial"/>
          <w:b/>
          <w:szCs w:val="20"/>
        </w:rPr>
        <w:t xml:space="preserve"> a také dodávky konzol k upevnění zařízení na sloup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r w:rsidR="00770BBC">
        <w:rPr>
          <w:rFonts w:cs="Arial"/>
          <w:szCs w:val="20"/>
        </w:rPr>
        <w:t xml:space="preserve"> Součástí předmětu této smlouvy je rovněž jeho doprava a složení v požadovaném místě plnění a dále také šéfmontáž</w:t>
      </w:r>
      <w:r w:rsidR="000B3BBC">
        <w:rPr>
          <w:rFonts w:cs="Arial"/>
          <w:szCs w:val="20"/>
        </w:rPr>
        <w:t>.</w:t>
      </w:r>
    </w:p>
    <w:p w14:paraId="6E32CD62" w14:textId="56C37C29" w:rsidR="00344733" w:rsidRPr="003D4E99" w:rsidRDefault="00344733" w:rsidP="003D4E99">
      <w:pPr>
        <w:numPr>
          <w:ilvl w:val="0"/>
          <w:numId w:val="1"/>
        </w:numPr>
        <w:spacing w:after="120" w:line="280" w:lineRule="atLeast"/>
        <w:jc w:val="both"/>
        <w:rPr>
          <w:rFonts w:cs="Arial"/>
          <w:szCs w:val="20"/>
        </w:rPr>
      </w:pPr>
      <w:r>
        <w:rPr>
          <w:rFonts w:cs="Arial"/>
          <w:szCs w:val="20"/>
        </w:rPr>
        <w:t xml:space="preserve">Předmětem </w:t>
      </w:r>
      <w:r w:rsidR="00E44585">
        <w:rPr>
          <w:rFonts w:cs="Arial"/>
          <w:szCs w:val="20"/>
        </w:rPr>
        <w:t>plnění podle této smlouvy</w:t>
      </w:r>
      <w:r>
        <w:rPr>
          <w:rFonts w:cs="Arial"/>
          <w:szCs w:val="20"/>
        </w:rPr>
        <w:t xml:space="preserve"> jsou také servisní služby </w:t>
      </w:r>
      <w:r w:rsidR="00E44585">
        <w:rPr>
          <w:rFonts w:cs="Arial"/>
          <w:szCs w:val="20"/>
        </w:rPr>
        <w:t>k</w:t>
      </w:r>
      <w:r w:rsidR="00D8243C">
        <w:rPr>
          <w:rFonts w:cs="Arial"/>
          <w:szCs w:val="20"/>
        </w:rPr>
        <w:t> IED</w:t>
      </w:r>
      <w:r w:rsidR="00E44585">
        <w:rPr>
          <w:rFonts w:cs="Arial"/>
          <w:szCs w:val="20"/>
        </w:rPr>
        <w:t xml:space="preserve">. Práva a povinnosti smluvních stran týkající se servisních služeb, jako také ceny jednotlivých servisních služeb, upravuje samostatná servisní smlouva, která tvoří </w:t>
      </w:r>
      <w:r w:rsidR="00E44585" w:rsidRPr="007D3A6B">
        <w:rPr>
          <w:rFonts w:cs="Arial"/>
          <w:szCs w:val="20"/>
          <w:u w:val="single"/>
        </w:rPr>
        <w:t xml:space="preserve">přílohu </w:t>
      </w:r>
      <w:r w:rsidR="00BF1E10">
        <w:rPr>
          <w:rFonts w:cs="Arial"/>
          <w:szCs w:val="20"/>
          <w:u w:val="single"/>
        </w:rPr>
        <w:t>5</w:t>
      </w:r>
      <w:r w:rsidR="00E44585">
        <w:rPr>
          <w:rFonts w:cs="Arial"/>
          <w:szCs w:val="20"/>
        </w:rPr>
        <w:t xml:space="preserve"> této smlouvy a bude uzavřena současně s touto smlouvou.</w:t>
      </w:r>
    </w:p>
    <w:p w14:paraId="2DFE0823"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 xml:space="preserve">vybraných ustanovení </w:t>
      </w:r>
      <w:r w:rsidRPr="000B1381">
        <w:rPr>
          <w:rFonts w:eastAsia="Calibri" w:cs="Arial"/>
          <w:szCs w:val="20"/>
          <w:lang w:eastAsia="en-US"/>
        </w:rPr>
        <w:lastRenderedPageBreak/>
        <w:t>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058AF0F9" w14:textId="347960A0" w:rsidR="00367274" w:rsidRPr="00367274" w:rsidRDefault="000B3BBC" w:rsidP="00367274">
      <w:pPr>
        <w:numPr>
          <w:ilvl w:val="0"/>
          <w:numId w:val="1"/>
        </w:numPr>
        <w:spacing w:after="120" w:line="280" w:lineRule="atLeast"/>
        <w:jc w:val="both"/>
        <w:rPr>
          <w:rFonts w:cs="Arial"/>
          <w:szCs w:val="20"/>
        </w:rPr>
      </w:pPr>
      <w:r>
        <w:rPr>
          <w:rFonts w:cs="Arial"/>
          <w:szCs w:val="20"/>
        </w:rPr>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3E4B3428"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661CC91B" w14:textId="76FF77F8"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795C0432" w14:textId="77777777" w:rsidR="009C0777" w:rsidRPr="00AC1806" w:rsidRDefault="000E2E24" w:rsidP="00AC1806">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5A19E7E0" w14:textId="4AE5AE13"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2EE16401" w14:textId="77777777" w:rsidR="009C0777" w:rsidRPr="009C1F89" w:rsidRDefault="009C0777" w:rsidP="009C0777">
      <w:pPr>
        <w:spacing w:line="280" w:lineRule="atLeast"/>
        <w:ind w:left="340"/>
        <w:jc w:val="both"/>
        <w:rPr>
          <w:rFonts w:cs="Arial"/>
          <w:szCs w:val="20"/>
        </w:rPr>
      </w:pPr>
    </w:p>
    <w:p w14:paraId="17C635DC" w14:textId="77777777" w:rsidR="00327D7B" w:rsidRPr="00DA2C52" w:rsidRDefault="00327D7B" w:rsidP="00060B31">
      <w:pPr>
        <w:spacing w:line="280" w:lineRule="atLeast"/>
        <w:jc w:val="both"/>
        <w:rPr>
          <w:rFonts w:cs="Arial"/>
          <w:b/>
          <w:szCs w:val="20"/>
        </w:rPr>
      </w:pPr>
    </w:p>
    <w:p w14:paraId="2A0CF4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E1D87FC"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5DF69E7E" w14:textId="77777777" w:rsidR="00327D7B" w:rsidRPr="00DA2C52" w:rsidRDefault="00327D7B" w:rsidP="00060B31">
      <w:pPr>
        <w:spacing w:line="280" w:lineRule="atLeast"/>
        <w:jc w:val="both"/>
        <w:rPr>
          <w:rFonts w:cs="Arial"/>
          <w:szCs w:val="20"/>
        </w:rPr>
      </w:pPr>
    </w:p>
    <w:p w14:paraId="592B40B5" w14:textId="33601A0E" w:rsidR="009C0777" w:rsidRPr="003D4E99" w:rsidRDefault="009C0777" w:rsidP="003D4E99">
      <w:pPr>
        <w:numPr>
          <w:ilvl w:val="0"/>
          <w:numId w:val="2"/>
        </w:numPr>
        <w:spacing w:after="120" w:line="280" w:lineRule="atLeast"/>
        <w:jc w:val="both"/>
        <w:rPr>
          <w:rFonts w:cs="Arial"/>
          <w:szCs w:val="20"/>
        </w:rPr>
      </w:pPr>
      <w:r w:rsidRPr="007A7407">
        <w:rPr>
          <w:rFonts w:cs="Arial"/>
          <w:szCs w:val="20"/>
        </w:rPr>
        <w:t xml:space="preserve">Místem plnění </w:t>
      </w:r>
      <w:r w:rsidR="00D8243C" w:rsidRPr="0070589D">
        <w:rPr>
          <w:rFonts w:cs="Arial"/>
          <w:szCs w:val="20"/>
        </w:rPr>
        <w:t>je území</w:t>
      </w:r>
      <w:r w:rsidR="00F14C44">
        <w:rPr>
          <w:rFonts w:cs="Arial"/>
          <w:szCs w:val="20"/>
        </w:rPr>
        <w:t>, na kterém kupující provozuje distribuční síť</w:t>
      </w:r>
      <w:r w:rsidRPr="0070589D">
        <w:rPr>
          <w:rFonts w:cs="Arial"/>
          <w:szCs w:val="20"/>
        </w:rPr>
        <w:t>.</w:t>
      </w:r>
      <w:r w:rsidR="00D8243C">
        <w:rPr>
          <w:rFonts w:cs="Arial"/>
          <w:szCs w:val="20"/>
        </w:rPr>
        <w:t xml:space="preserve"> Konkrétní místo plnění pro dílčí dodávku vždy určí kupující ve výzvě k plnění. Místem plnění mohou být i centrální sklady kupujícího. </w:t>
      </w:r>
      <w:r w:rsidR="00D426DC">
        <w:rPr>
          <w:rFonts w:cs="Arial"/>
          <w:szCs w:val="20"/>
        </w:rPr>
        <w:t>Centrální</w:t>
      </w:r>
      <w:r w:rsidRPr="007A7407">
        <w:rPr>
          <w:rFonts w:cs="Arial"/>
          <w:szCs w:val="20"/>
        </w:rPr>
        <w:t xml:space="preserve"> sklady kupujícího jsou zřizovány za účelem maximální možné míry do</w:t>
      </w:r>
      <w:r w:rsidRPr="008836E9">
        <w:rPr>
          <w:rFonts w:cs="Arial"/>
          <w:szCs w:val="20"/>
        </w:rPr>
        <w:t>stupnosti zboží pro kupujícího a nacházejí se na následujících adresách: (i) pro oblast Brno je centrální sklad na adrese E.ON Česká republika, s.r.o.,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E.ON Česká republika, s.r.o., Centrální sklad, Novohradská 736/2, 370 49 </w:t>
      </w:r>
      <w:r w:rsidRPr="00D71308">
        <w:rPr>
          <w:rFonts w:cs="Arial"/>
          <w:szCs w:val="20"/>
        </w:rPr>
        <w:t xml:space="preserve">České Budějovice. </w:t>
      </w:r>
    </w:p>
    <w:p w14:paraId="6B5E4009" w14:textId="7F451A1A" w:rsidR="009C0777" w:rsidRPr="003D4E99" w:rsidRDefault="009C0777" w:rsidP="00B0614A">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0B3BBC">
        <w:rPr>
          <w:szCs w:val="20"/>
        </w:rPr>
        <w:t>centrálních</w:t>
      </w:r>
      <w:r w:rsidR="000B3BBC" w:rsidRPr="00D71308">
        <w:rPr>
          <w:szCs w:val="20"/>
        </w:rPr>
        <w:t xml:space="preserve"> </w:t>
      </w:r>
      <w:r w:rsidRPr="00D71308">
        <w:rPr>
          <w:szCs w:val="20"/>
        </w:rPr>
        <w:t xml:space="preserve">skladů kupujícího,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2010 DDP dle § 1754 NOZ</w:t>
      </w:r>
      <w:r w:rsidRPr="00D71308">
        <w:rPr>
          <w:szCs w:val="20"/>
        </w:rPr>
        <w:t>.</w:t>
      </w:r>
    </w:p>
    <w:p w14:paraId="19CB82C5" w14:textId="4A2A6815" w:rsidR="009C0777" w:rsidRPr="00D426DC" w:rsidRDefault="009C0777" w:rsidP="00D426DC">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w:t>
      </w:r>
      <w:r w:rsidR="0096569E">
        <w:rPr>
          <w:rFonts w:cs="Arial"/>
          <w:szCs w:val="20"/>
        </w:rPr>
        <w:t>.</w:t>
      </w:r>
      <w:r w:rsidRPr="00D71308">
        <w:rPr>
          <w:rFonts w:cs="Arial"/>
          <w:szCs w:val="20"/>
        </w:rPr>
        <w:t xml:space="preserve">, a to nejpozději </w:t>
      </w:r>
      <w:r w:rsidRPr="00AB4966">
        <w:rPr>
          <w:rFonts w:cs="Arial"/>
          <w:szCs w:val="20"/>
        </w:rPr>
        <w:t xml:space="preserve">do </w:t>
      </w:r>
      <w:r w:rsidR="00F14C44" w:rsidRPr="00AB4966">
        <w:rPr>
          <w:rFonts w:cs="Arial"/>
          <w:szCs w:val="20"/>
        </w:rPr>
        <w:t xml:space="preserve">8 </w:t>
      </w:r>
      <w:r w:rsidR="00D426DC" w:rsidRPr="00AB4966">
        <w:rPr>
          <w:rFonts w:cs="Arial"/>
          <w:szCs w:val="20"/>
        </w:rPr>
        <w:t>týdnů</w:t>
      </w:r>
      <w:r w:rsidRPr="00D71308">
        <w:rPr>
          <w:rFonts w:cs="Arial"/>
          <w:szCs w:val="20"/>
        </w:rPr>
        <w:t xml:space="preserve"> od doručení výzvy k plnění </w:t>
      </w:r>
      <w:r w:rsidRPr="00D71308">
        <w:rPr>
          <w:rFonts w:cs="Arial"/>
          <w:szCs w:val="20"/>
        </w:rPr>
        <w:lastRenderedPageBreak/>
        <w:t>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2F648FD1" w14:textId="64701704"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3FEE0D02" w14:textId="02B5927D" w:rsidR="00D456FB" w:rsidRPr="00874527" w:rsidRDefault="00874527" w:rsidP="00B0614A">
      <w:pPr>
        <w:numPr>
          <w:ilvl w:val="0"/>
          <w:numId w:val="2"/>
        </w:numPr>
        <w:spacing w:line="280" w:lineRule="atLeast"/>
        <w:jc w:val="both"/>
        <w:rPr>
          <w:rFonts w:cs="Arial"/>
          <w:szCs w:val="20"/>
        </w:rPr>
      </w:pPr>
      <w:r w:rsidRPr="00874527">
        <w:rPr>
          <w:rFonts w:cs="Arial"/>
          <w:szCs w:val="20"/>
        </w:rPr>
        <w:t xml:space="preserve">Prodávající je dále navíc povinen avizovat kupujícímu předem realizaci každé zamýšlené dodávky požadované kupujícím na základě výzvy kupujícího dle předchozích vět, a to emailem na adresu pracovníků </w:t>
      </w:r>
      <w:hyperlink r:id="rId14"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14:paraId="2A75D587" w14:textId="77777777" w:rsidR="006A642D" w:rsidRDefault="006A642D" w:rsidP="00060B31">
      <w:pPr>
        <w:spacing w:line="280" w:lineRule="atLeast"/>
        <w:jc w:val="both"/>
        <w:rPr>
          <w:rFonts w:cs="Arial"/>
          <w:szCs w:val="20"/>
        </w:rPr>
      </w:pPr>
    </w:p>
    <w:p w14:paraId="058D60AE" w14:textId="77777777" w:rsidR="00074032" w:rsidRPr="00DA2C52" w:rsidRDefault="00074032" w:rsidP="00060B31">
      <w:pPr>
        <w:spacing w:line="280" w:lineRule="atLeast"/>
        <w:jc w:val="both"/>
        <w:rPr>
          <w:rFonts w:cs="Arial"/>
          <w:szCs w:val="20"/>
        </w:rPr>
      </w:pPr>
    </w:p>
    <w:p w14:paraId="1BC2B560"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17B4E644"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11F26FA2" w14:textId="77777777" w:rsidR="00327D7B" w:rsidRPr="00DA2C52" w:rsidRDefault="00327D7B" w:rsidP="00060B31">
      <w:pPr>
        <w:spacing w:line="280" w:lineRule="atLeast"/>
        <w:jc w:val="both"/>
        <w:rPr>
          <w:rFonts w:cs="Arial"/>
          <w:szCs w:val="20"/>
        </w:rPr>
      </w:pPr>
    </w:p>
    <w:p w14:paraId="1CB164C8" w14:textId="2E9C9773"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14:paraId="5C7418B5" w14:textId="77777777"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6CE4BF9A" w14:textId="77777777" w:rsidR="00C85885" w:rsidRDefault="00BF46EB" w:rsidP="00F82852">
      <w:pPr>
        <w:numPr>
          <w:ilvl w:val="0"/>
          <w:numId w:val="5"/>
        </w:numPr>
        <w:spacing w:after="120" w:line="280" w:lineRule="atLeast"/>
        <w:ind w:left="426" w:hanging="426"/>
        <w:jc w:val="both"/>
      </w:pPr>
      <w:r w:rsidRPr="00D47E49">
        <w:t>Do ceny</w:t>
      </w:r>
      <w:r w:rsidR="00F14C44" w:rsidRPr="00D47E49">
        <w:t xml:space="preserve"> </w:t>
      </w:r>
      <w:proofErr w:type="spellStart"/>
      <w:r w:rsidR="00F14C44" w:rsidRPr="00D47E49">
        <w:t>recloseru</w:t>
      </w:r>
      <w:proofErr w:type="spellEnd"/>
      <w:r w:rsidRPr="00D47E49">
        <w:t xml:space="preserve"> je také zahrnuto provedení tzv. šéfmontáže, tedy parametrizace, nastavení, kalibrace a otestování funkčnosti předmětu plnění, a to jak při jeho kompletaci, tak i po montáži na sloup.</w:t>
      </w:r>
      <w:r>
        <w:t xml:space="preserve"> </w:t>
      </w:r>
      <w:r w:rsidR="003A0273">
        <w:t xml:space="preserve">Šéfmontáž zahrnuje také </w:t>
      </w:r>
      <w:r w:rsidR="003A0273" w:rsidRPr="00CE602F">
        <w:rPr>
          <w:rFonts w:cs="Arial"/>
          <w:snapToGrid w:val="0"/>
          <w:color w:val="000000"/>
        </w:rPr>
        <w:t>montáž řídící jednotky se zdrojem, ovládacím a signalizačním panelem, včetně umístění antény na podpěrný bod a jejího připojení do řídící jednotky.</w:t>
      </w:r>
      <w:r w:rsidR="003A0273">
        <w:rPr>
          <w:rFonts w:cs="Arial"/>
          <w:snapToGrid w:val="0"/>
          <w:color w:val="000000"/>
        </w:rPr>
        <w:t xml:space="preserve"> </w:t>
      </w:r>
      <w:r>
        <w:t>Pro vyloučení všech pochybností jsou v jednotkové ceně</w:t>
      </w:r>
      <w:r w:rsidR="00F14C44">
        <w:t xml:space="preserve"> </w:t>
      </w:r>
      <w:proofErr w:type="spellStart"/>
      <w:r w:rsidR="00F14C44">
        <w:t>recloseru</w:t>
      </w:r>
      <w:proofErr w:type="spellEnd"/>
      <w:r>
        <w:t xml:space="preserve"> dle </w:t>
      </w:r>
      <w:r w:rsidRPr="0070589D">
        <w:rPr>
          <w:u w:val="single"/>
        </w:rPr>
        <w:t>přílohy 1</w:t>
      </w:r>
      <w:r>
        <w:t xml:space="preserve"> této smlouvy zahrnuty také veškeré náklady prodávajícího související s provedením šéfmontáže (doprava pracovníka provádějícího šéfmontáž na místo montáže předmětu plnění, at</w:t>
      </w:r>
      <w:r w:rsidR="00B67F99">
        <w:t>p</w:t>
      </w:r>
      <w:r>
        <w:t>.).</w:t>
      </w:r>
    </w:p>
    <w:p w14:paraId="1E976DB6"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32588ED9" w14:textId="797B01DE"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0A6CE95C" w14:textId="7833D768" w:rsidR="0096569E" w:rsidRPr="00635B6F" w:rsidRDefault="0096569E" w:rsidP="0096569E">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p>
    <w:p w14:paraId="0F412FB0" w14:textId="77777777"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lastRenderedPageBreak/>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w:t>
      </w:r>
      <w:r w:rsidR="00F76A77">
        <w:rPr>
          <w:rFonts w:cs="Arial"/>
          <w:szCs w:val="20"/>
        </w:rPr>
        <w:t xml:space="preserve"> a výzvy k plnění a musí k nim být připojena kopie příslušné 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52CF2E6E" w14:textId="77777777"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71351457" w14:textId="77777777"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1C5A3A67"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4C7F515E" w14:textId="77777777" w:rsidR="00FD213B" w:rsidRDefault="00FD213B" w:rsidP="00A26919">
      <w:pPr>
        <w:pStyle w:val="Odstavecseseznamem"/>
        <w:rPr>
          <w:rFonts w:cs="Arial"/>
          <w:szCs w:val="20"/>
        </w:rPr>
      </w:pPr>
    </w:p>
    <w:p w14:paraId="4B6155B8" w14:textId="77777777" w:rsidR="00327D7B" w:rsidRPr="00DA2C52" w:rsidRDefault="00327D7B" w:rsidP="00060B31">
      <w:pPr>
        <w:spacing w:line="280" w:lineRule="atLeast"/>
        <w:jc w:val="both"/>
        <w:rPr>
          <w:rFonts w:cs="Arial"/>
          <w:szCs w:val="20"/>
        </w:rPr>
      </w:pPr>
    </w:p>
    <w:p w14:paraId="70225420"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002391F"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05650E0" w14:textId="77777777" w:rsidR="00327D7B" w:rsidRPr="00DA2C52" w:rsidRDefault="00327D7B" w:rsidP="00060B31">
      <w:pPr>
        <w:spacing w:line="280" w:lineRule="atLeast"/>
        <w:jc w:val="center"/>
        <w:rPr>
          <w:rFonts w:cs="Arial"/>
          <w:b/>
          <w:szCs w:val="20"/>
        </w:rPr>
      </w:pPr>
    </w:p>
    <w:p w14:paraId="2A696988" w14:textId="33E6C522"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0"/>
      <w:r w:rsidRPr="00D71308">
        <w:rPr>
          <w:rFonts w:ascii="Arial" w:hAnsi="Arial" w:cs="Arial"/>
          <w:sz w:val="20"/>
          <w:szCs w:val="20"/>
          <w:lang w:eastAsia="en-US"/>
        </w:rPr>
        <w:t>.</w:t>
      </w:r>
    </w:p>
    <w:p w14:paraId="29025D2D" w14:textId="783FC612"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5ABD47DC"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2A7AABD3" w14:textId="419E8791"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3F1E7C84"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w:t>
      </w:r>
      <w:r w:rsidRPr="009355C1">
        <w:rPr>
          <w:rFonts w:ascii="Arial" w:hAnsi="Arial" w:cs="Arial"/>
          <w:sz w:val="20"/>
          <w:szCs w:val="20"/>
          <w:lang w:eastAsia="en-US"/>
        </w:rPr>
        <w:lastRenderedPageBreak/>
        <w:t>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0F9BBD02" w14:textId="5F66ECA9"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kupující provede zběžnou, nikoli podrobnou prohlídku </w:t>
      </w:r>
      <w:r w:rsidR="00F14C44">
        <w:rPr>
          <w:rFonts w:ascii="Arial" w:hAnsi="Arial" w:cs="Arial"/>
          <w:sz w:val="20"/>
          <w:szCs w:val="20"/>
          <w:lang w:eastAsia="en-US"/>
        </w:rPr>
        <w:t xml:space="preserve">namontovaného a zprovozněného </w:t>
      </w:r>
      <w:r w:rsidRPr="00101F4E">
        <w:rPr>
          <w:rFonts w:ascii="Arial" w:hAnsi="Arial" w:cs="Arial"/>
          <w:sz w:val="20"/>
          <w:szCs w:val="20"/>
          <w:lang w:eastAsia="en-US"/>
        </w:rPr>
        <w:t>zboží</w:t>
      </w:r>
      <w:r w:rsidR="00F14C44">
        <w:rPr>
          <w:rFonts w:ascii="Arial" w:hAnsi="Arial" w:cs="Arial"/>
          <w:sz w:val="20"/>
          <w:szCs w:val="20"/>
          <w:lang w:eastAsia="en-US"/>
        </w:rPr>
        <w:t xml:space="preserve"> a nechá si předvést jeho funkčnost. P</w:t>
      </w:r>
      <w:r w:rsidRPr="00101F4E">
        <w:rPr>
          <w:rFonts w:ascii="Arial" w:hAnsi="Arial" w:cs="Arial"/>
          <w:sz w:val="20"/>
          <w:szCs w:val="20"/>
          <w:lang w:eastAsia="en-US"/>
        </w:rPr>
        <w:t>řípadné zjištěné vady či nedostatky poznatelné zběžnou prohlídkou vytkne v </w:t>
      </w:r>
      <w:r w:rsidR="00F14C44">
        <w:rPr>
          <w:rFonts w:ascii="Arial" w:hAnsi="Arial" w:cs="Arial"/>
          <w:sz w:val="20"/>
          <w:szCs w:val="20"/>
          <w:lang w:eastAsia="en-US"/>
        </w:rPr>
        <w:t>předávacím protokolu</w:t>
      </w:r>
      <w:r w:rsidRPr="00101F4E">
        <w:rPr>
          <w:rFonts w:ascii="Arial" w:hAnsi="Arial" w:cs="Arial"/>
          <w:sz w:val="20"/>
          <w:szCs w:val="20"/>
          <w:lang w:eastAsia="en-US"/>
        </w:rPr>
        <w:t>. Kupující není povinen zboží převzít, pokud nebude dodáno zcela v souladu s touto smlouvou a výzvou k plnění.</w:t>
      </w:r>
    </w:p>
    <w:p w14:paraId="64AE9C2A" w14:textId="0A91F53A"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19A9D811" w14:textId="77777777" w:rsidR="00DD568D" w:rsidRPr="00101F4E" w:rsidRDefault="00DD568D" w:rsidP="00DD568D">
      <w:pPr>
        <w:pStyle w:val="Odstavecseseznamem"/>
        <w:rPr>
          <w:rFonts w:cs="Arial"/>
          <w:szCs w:val="20"/>
          <w:highlight w:val="yellow"/>
        </w:rPr>
      </w:pPr>
    </w:p>
    <w:p w14:paraId="23D2D1BB"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69C4A655"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382DFBF2"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5727506C"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1A453373" w14:textId="77777777" w:rsidR="00135319" w:rsidRDefault="00135319" w:rsidP="003C5620">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6BD3920D" w14:textId="2AB7A7D2" w:rsidR="00DD568D" w:rsidRPr="00101F4E" w:rsidRDefault="00135319" w:rsidP="00A312E8">
      <w:pPr>
        <w:spacing w:after="120" w:line="276" w:lineRule="auto"/>
        <w:ind w:left="1417" w:hanging="340"/>
        <w:jc w:val="both"/>
        <w:rPr>
          <w:rFonts w:cs="Arial"/>
          <w:szCs w:val="20"/>
        </w:rPr>
      </w:pPr>
      <w:r>
        <w:rPr>
          <w:rFonts w:cs="Arial"/>
          <w:szCs w:val="20"/>
        </w:rPr>
        <w:t xml:space="preserve">      </w:t>
      </w:r>
      <w:r w:rsidR="00DD568D" w:rsidRPr="00BF4EED">
        <w:rPr>
          <w:rFonts w:cs="Arial"/>
          <w:szCs w:val="20"/>
        </w:rPr>
        <w:t>nevratné</w:t>
      </w:r>
      <w:r w:rsidR="00A96D78">
        <w:rPr>
          <w:rFonts w:cs="Arial"/>
          <w:szCs w:val="20"/>
        </w:rPr>
        <w:t xml:space="preserve"> a specifické požadavky na skladování, dopravu a manipulaci se zbožím, má-li být zboží dodáno do centrálního skladu kupujícího</w:t>
      </w:r>
      <w:r w:rsidR="00DD568D" w:rsidRPr="00101F4E">
        <w:rPr>
          <w:rFonts w:cs="Arial"/>
          <w:szCs w:val="20"/>
        </w:rPr>
        <w:t>;</w:t>
      </w:r>
    </w:p>
    <w:p w14:paraId="2E96DD4E" w14:textId="34378F6D" w:rsidR="00135319" w:rsidRDefault="00135319" w:rsidP="00A312E8">
      <w:pPr>
        <w:spacing w:line="276" w:lineRule="auto"/>
        <w:ind w:left="1417" w:hanging="340"/>
        <w:jc w:val="both"/>
        <w:rPr>
          <w:rFonts w:cs="Arial"/>
          <w:szCs w:val="20"/>
        </w:rPr>
      </w:pPr>
      <w:r>
        <w:rPr>
          <w:rFonts w:cs="Arial"/>
          <w:szCs w:val="20"/>
        </w:rPr>
        <w:t xml:space="preserve">f.   </w:t>
      </w:r>
      <w:r w:rsidR="00DD568D" w:rsidRPr="00101F4E">
        <w:rPr>
          <w:rFonts w:cs="Arial"/>
          <w:szCs w:val="20"/>
        </w:rPr>
        <w:t xml:space="preserve">případné výtky kupujícího k vlastnostem </w:t>
      </w:r>
      <w:r w:rsidR="003C5620">
        <w:rPr>
          <w:rFonts w:cs="Arial"/>
          <w:szCs w:val="20"/>
        </w:rPr>
        <w:t>namontovaného a zprovozněného</w:t>
      </w:r>
      <w:r w:rsidR="003C5620" w:rsidRPr="00101F4E">
        <w:rPr>
          <w:rFonts w:cs="Arial"/>
          <w:szCs w:val="20"/>
        </w:rPr>
        <w:t xml:space="preserve"> </w:t>
      </w:r>
      <w:r w:rsidR="00DD568D" w:rsidRPr="00101F4E">
        <w:rPr>
          <w:rFonts w:cs="Arial"/>
          <w:szCs w:val="20"/>
        </w:rPr>
        <w:t xml:space="preserve">zboží na základě </w:t>
      </w:r>
      <w:r>
        <w:rPr>
          <w:rFonts w:cs="Arial"/>
          <w:szCs w:val="20"/>
        </w:rPr>
        <w:t xml:space="preserve">   </w:t>
      </w:r>
    </w:p>
    <w:p w14:paraId="6CB4D86B" w14:textId="669C0E0B"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w:t>
      </w:r>
    </w:p>
    <w:p w14:paraId="70DF6DF7" w14:textId="77777777"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25099523" w14:textId="4267DFC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7BAB370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726A12A7"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2D63A48E" w14:textId="22C336F7"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656BF3" w:rsidRPr="00F33481">
        <w:rPr>
          <w:rFonts w:ascii="Arial" w:hAnsi="Arial" w:cs="Arial"/>
          <w:sz w:val="20"/>
          <w:szCs w:val="20"/>
        </w:rPr>
        <w:t>dodaného, namontovaného a zprovozněného 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62ACB2F3" w14:textId="3620702E"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45EEA08A" w14:textId="77777777" w:rsidR="00317E3D" w:rsidRDefault="00317E3D" w:rsidP="00317E3D">
      <w:pPr>
        <w:pStyle w:val="Odstavecseseznamem"/>
        <w:rPr>
          <w:rFonts w:cs="Arial"/>
          <w:szCs w:val="20"/>
          <w:lang w:eastAsia="en-US"/>
        </w:rPr>
      </w:pPr>
    </w:p>
    <w:p w14:paraId="6E919769" w14:textId="77777777" w:rsidR="00327D7B" w:rsidRPr="00DA2C52" w:rsidRDefault="00327D7B" w:rsidP="00060B31">
      <w:pPr>
        <w:spacing w:line="280" w:lineRule="atLeast"/>
        <w:jc w:val="both"/>
        <w:rPr>
          <w:rFonts w:cs="Arial"/>
          <w:szCs w:val="20"/>
        </w:rPr>
      </w:pPr>
    </w:p>
    <w:p w14:paraId="626A89B5" w14:textId="77777777" w:rsidR="00327D7B" w:rsidRPr="00DA2C52" w:rsidRDefault="00327D7B" w:rsidP="00060B31">
      <w:pPr>
        <w:spacing w:line="280" w:lineRule="atLeast"/>
        <w:jc w:val="center"/>
        <w:rPr>
          <w:rFonts w:cs="Arial"/>
          <w:b/>
          <w:szCs w:val="20"/>
        </w:rPr>
      </w:pPr>
      <w:r w:rsidRPr="00DA2C52">
        <w:rPr>
          <w:rFonts w:cs="Arial"/>
          <w:b/>
          <w:szCs w:val="20"/>
        </w:rPr>
        <w:t>V.</w:t>
      </w:r>
    </w:p>
    <w:p w14:paraId="2C31DA9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0F9CAE87" w14:textId="77777777" w:rsidR="00327D7B" w:rsidRPr="00DA2C52" w:rsidRDefault="00327D7B" w:rsidP="00060B31">
      <w:pPr>
        <w:pStyle w:val="Zkladntext"/>
        <w:spacing w:line="280" w:lineRule="atLeast"/>
        <w:jc w:val="both"/>
        <w:rPr>
          <w:rFonts w:ascii="Arial" w:hAnsi="Arial" w:cs="Arial"/>
          <w:color w:val="auto"/>
          <w:sz w:val="20"/>
        </w:rPr>
      </w:pPr>
    </w:p>
    <w:p w14:paraId="08E01D54"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8D1E068" w14:textId="7777777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70589D" w:rsidRPr="00C93AC9">
        <w:rPr>
          <w:rFonts w:ascii="Arial" w:hAnsi="Arial" w:cs="Arial"/>
          <w:color w:val="auto"/>
          <w:sz w:val="20"/>
        </w:rPr>
        <w:t>36 měsíců na IED a</w:t>
      </w:r>
      <w:r w:rsidRPr="00C93AC9">
        <w:rPr>
          <w:rFonts w:ascii="Arial" w:hAnsi="Arial" w:cs="Arial"/>
          <w:color w:val="auto"/>
          <w:sz w:val="20"/>
        </w:rPr>
        <w:t xml:space="preserve"> </w:t>
      </w:r>
      <w:r w:rsidR="0063608E" w:rsidRPr="00C93AC9">
        <w:rPr>
          <w:rFonts w:ascii="Arial" w:hAnsi="Arial" w:cs="Arial"/>
          <w:color w:val="auto"/>
          <w:sz w:val="20"/>
        </w:rPr>
        <w:t>60</w:t>
      </w:r>
      <w:r w:rsidR="001D5747" w:rsidRPr="00C93AC9">
        <w:rPr>
          <w:rFonts w:ascii="Arial" w:hAnsi="Arial" w:cs="Arial"/>
          <w:color w:val="auto"/>
          <w:sz w:val="20"/>
        </w:rPr>
        <w:t xml:space="preserve"> měsíců</w:t>
      </w:r>
      <w:r w:rsidRPr="00C93AC9">
        <w:rPr>
          <w:rFonts w:ascii="Arial" w:hAnsi="Arial" w:cs="Arial"/>
          <w:color w:val="auto"/>
          <w:sz w:val="20"/>
        </w:rPr>
        <w:t xml:space="preserve"> </w:t>
      </w:r>
      <w:r w:rsidR="0070589D" w:rsidRPr="00C93AC9">
        <w:rPr>
          <w:rFonts w:ascii="Arial" w:hAnsi="Arial" w:cs="Arial"/>
          <w:color w:val="auto"/>
          <w:sz w:val="20"/>
        </w:rPr>
        <w:t xml:space="preserve">na ostatní komponenty </w:t>
      </w:r>
      <w:proofErr w:type="spellStart"/>
      <w:r w:rsidR="003C5620" w:rsidRPr="00C93AC9">
        <w:rPr>
          <w:rFonts w:ascii="Arial" w:hAnsi="Arial" w:cs="Arial"/>
          <w:color w:val="auto"/>
          <w:sz w:val="20"/>
        </w:rPr>
        <w:t>recloseru</w:t>
      </w:r>
      <w:proofErr w:type="spellEnd"/>
      <w:r w:rsidR="003C5620" w:rsidRPr="00C93AC9">
        <w:rPr>
          <w:rFonts w:ascii="Arial" w:hAnsi="Arial" w:cs="Arial"/>
          <w:color w:val="auto"/>
          <w:sz w:val="20"/>
        </w:rPr>
        <w:t xml:space="preserve"> a na konzole</w:t>
      </w:r>
      <w:r w:rsidR="0070589D">
        <w:rPr>
          <w:rFonts w:ascii="Arial" w:hAnsi="Arial" w:cs="Arial"/>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69AB4CC"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3816C6BC"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CD2DEDB"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20BC591E"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74B39A67"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29375EB3"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4C38C77A"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394973FB"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51F323CC" w14:textId="42278172"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14:paraId="77B12B1D"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62CFE7DA"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lastRenderedPageBreak/>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5CFE7AD3" w14:textId="77777777" w:rsidR="0070589D" w:rsidRPr="002D3B2E" w:rsidRDefault="0070589D" w:rsidP="002D3B2E">
      <w:pPr>
        <w:numPr>
          <w:ilvl w:val="0"/>
          <w:numId w:val="4"/>
        </w:numPr>
        <w:tabs>
          <w:tab w:val="num" w:pos="426"/>
        </w:tabs>
        <w:spacing w:after="120" w:line="280" w:lineRule="atLeast"/>
        <w:ind w:left="426" w:hanging="284"/>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w:t>
      </w:r>
      <w:r w:rsidR="001E2BF5">
        <w:rPr>
          <w:rFonts w:cs="Arial"/>
          <w:szCs w:val="20"/>
        </w:rPr>
        <w:t>é náklady na vypnutí a zajištění pracoviště.</w:t>
      </w:r>
    </w:p>
    <w:p w14:paraId="29BAC852"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7DA3B931" w14:textId="77777777" w:rsidR="00437090" w:rsidRDefault="00437090" w:rsidP="00A84E33">
      <w:pPr>
        <w:numPr>
          <w:ilvl w:val="0"/>
          <w:numId w:val="4"/>
        </w:numPr>
        <w:tabs>
          <w:tab w:val="num" w:pos="426"/>
        </w:tabs>
        <w:spacing w:after="120" w:line="280" w:lineRule="atLeast"/>
        <w:ind w:left="426" w:hanging="284"/>
        <w:jc w:val="both"/>
        <w:rPr>
          <w:rFonts w:cs="Arial"/>
          <w:szCs w:val="20"/>
        </w:rPr>
      </w:pPr>
      <w:r>
        <w:rPr>
          <w:rFonts w:cs="Arial"/>
          <w:szCs w:val="20"/>
        </w:rPr>
        <w:t xml:space="preserve">Prodávající kupujícímu zaručuje životnost </w:t>
      </w:r>
      <w:r w:rsidR="00CB2CE3">
        <w:rPr>
          <w:rFonts w:cs="Arial"/>
          <w:szCs w:val="20"/>
        </w:rPr>
        <w:t>silové části zboží alespoň 45 let</w:t>
      </w:r>
      <w:r>
        <w:rPr>
          <w:rFonts w:cs="Arial"/>
          <w:szCs w:val="20"/>
        </w:rPr>
        <w:t xml:space="preserve"> </w:t>
      </w:r>
      <w:r w:rsidR="00CB2CE3">
        <w:rPr>
          <w:rFonts w:cs="Arial"/>
          <w:szCs w:val="20"/>
        </w:rPr>
        <w:t>a životnost zařízení dálkového ovládání</w:t>
      </w:r>
      <w:r>
        <w:rPr>
          <w:rFonts w:cs="Arial"/>
          <w:szCs w:val="20"/>
        </w:rPr>
        <w:t xml:space="preserve"> </w:t>
      </w:r>
      <w:r w:rsidR="00CB2CE3">
        <w:rPr>
          <w:rFonts w:cs="Arial"/>
          <w:szCs w:val="20"/>
        </w:rPr>
        <w:t xml:space="preserve">alespoň 15 let </w:t>
      </w:r>
      <w:r>
        <w:rPr>
          <w:rFonts w:cs="Arial"/>
          <w:szCs w:val="20"/>
        </w:rPr>
        <w:t>při zachování technických parametrů od doby využití zboží ke stanovenému účelu za předpokladu splnění postupů uvedených v montážním návodu předloženém prodávajícím kupujícímu.</w:t>
      </w:r>
    </w:p>
    <w:p w14:paraId="0D0490FA" w14:textId="3B5542BE" w:rsidR="00A84E33" w:rsidRPr="0011612D" w:rsidRDefault="00A84E33" w:rsidP="00A84E33">
      <w:pPr>
        <w:numPr>
          <w:ilvl w:val="0"/>
          <w:numId w:val="4"/>
        </w:numPr>
        <w:tabs>
          <w:tab w:val="clear" w:pos="482"/>
          <w:tab w:val="num" w:pos="567"/>
        </w:tabs>
        <w:spacing w:after="120" w:line="280" w:lineRule="atLeast"/>
        <w:ind w:left="426" w:hanging="284"/>
        <w:jc w:val="both"/>
        <w:rPr>
          <w:rFonts w:cs="Arial"/>
          <w:szCs w:val="20"/>
        </w:rPr>
      </w:pPr>
      <w:r>
        <w:rPr>
          <w:rFonts w:cs="Arial"/>
          <w:szCs w:val="20"/>
          <w:u w:val="single"/>
        </w:rPr>
        <w:t xml:space="preserve"> </w:t>
      </w:r>
      <w:r w:rsidRPr="0011612D">
        <w:rPr>
          <w:rFonts w:cs="Arial"/>
          <w:szCs w:val="20"/>
          <w:u w:val="single"/>
        </w:rPr>
        <w:t xml:space="preserve">Příloha </w:t>
      </w:r>
      <w:r w:rsidR="00BF1E10">
        <w:rPr>
          <w:rFonts w:cs="Arial"/>
          <w:szCs w:val="20"/>
          <w:u w:val="single"/>
        </w:rPr>
        <w:t>5</w:t>
      </w:r>
      <w:r w:rsidRPr="0011612D">
        <w:rPr>
          <w:rFonts w:cs="Arial"/>
          <w:szCs w:val="20"/>
          <w:u w:val="single"/>
        </w:rPr>
        <w:t xml:space="preserve"> </w:t>
      </w:r>
      <w:r w:rsidRPr="0011612D">
        <w:rPr>
          <w:rFonts w:cs="Arial"/>
          <w:szCs w:val="20"/>
        </w:rPr>
        <w:t xml:space="preserve">této smlouvy obsahuje servisní smlouvu uzavřenou mezi prodávajícím a kupujícím, na základě které bude prodávající provádět záruční a pozáruční servis </w:t>
      </w:r>
      <w:r w:rsidR="001E2BF5" w:rsidRPr="0011612D">
        <w:rPr>
          <w:rFonts w:cs="Arial"/>
          <w:szCs w:val="20"/>
        </w:rPr>
        <w:t xml:space="preserve">IED </w:t>
      </w:r>
      <w:r w:rsidRPr="0011612D">
        <w:rPr>
          <w:rFonts w:cs="Arial"/>
          <w:szCs w:val="20"/>
        </w:rPr>
        <w:t>a další služby potřebné k bezvadné funkčnosti zboží.</w:t>
      </w:r>
    </w:p>
    <w:p w14:paraId="033A8A2F" w14:textId="77777777" w:rsidR="00396077" w:rsidRDefault="009E0CE6" w:rsidP="00F72021">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77D3EBDC" w14:textId="77777777" w:rsidR="004901BA" w:rsidRDefault="004901BA" w:rsidP="002D3B2E">
      <w:pPr>
        <w:spacing w:beforeLines="50" w:before="120" w:afterLines="50" w:after="120" w:line="280" w:lineRule="atLeast"/>
        <w:jc w:val="both"/>
        <w:rPr>
          <w:rFonts w:cs="Arial"/>
          <w:szCs w:val="20"/>
        </w:rPr>
      </w:pPr>
    </w:p>
    <w:p w14:paraId="180C5F5F" w14:textId="77777777" w:rsidR="00327D7B" w:rsidRPr="00DA2C52" w:rsidRDefault="00327D7B" w:rsidP="00060B31">
      <w:pPr>
        <w:spacing w:line="280" w:lineRule="atLeast"/>
        <w:jc w:val="both"/>
        <w:rPr>
          <w:rFonts w:cs="Arial"/>
          <w:szCs w:val="20"/>
        </w:rPr>
      </w:pPr>
    </w:p>
    <w:p w14:paraId="2DB38113" w14:textId="77777777" w:rsidR="00327D7B" w:rsidRDefault="00327D7B" w:rsidP="00060B31">
      <w:pPr>
        <w:spacing w:line="280" w:lineRule="atLeast"/>
        <w:jc w:val="center"/>
        <w:rPr>
          <w:rFonts w:cs="Arial"/>
          <w:b/>
          <w:szCs w:val="20"/>
        </w:rPr>
      </w:pPr>
      <w:r w:rsidRPr="00DA2C52">
        <w:rPr>
          <w:rFonts w:cs="Arial"/>
          <w:b/>
          <w:szCs w:val="20"/>
        </w:rPr>
        <w:t>VI.</w:t>
      </w:r>
    </w:p>
    <w:p w14:paraId="5A6B8D44" w14:textId="77777777" w:rsidR="00437090" w:rsidRDefault="00437090" w:rsidP="00060B31">
      <w:pPr>
        <w:spacing w:line="280" w:lineRule="atLeast"/>
        <w:jc w:val="center"/>
        <w:rPr>
          <w:rFonts w:cs="Arial"/>
          <w:b/>
          <w:szCs w:val="20"/>
        </w:rPr>
      </w:pPr>
      <w:r>
        <w:rPr>
          <w:rFonts w:cs="Arial"/>
          <w:b/>
          <w:szCs w:val="20"/>
        </w:rPr>
        <w:t>Smluvní pokuty</w:t>
      </w:r>
    </w:p>
    <w:p w14:paraId="6B1761F6" w14:textId="77777777" w:rsidR="00437090" w:rsidRDefault="00437090" w:rsidP="002D3B2E">
      <w:pPr>
        <w:spacing w:line="280" w:lineRule="atLeast"/>
        <w:rPr>
          <w:rFonts w:cs="Arial"/>
          <w:b/>
          <w:szCs w:val="20"/>
        </w:rPr>
      </w:pPr>
    </w:p>
    <w:p w14:paraId="7B1608A9"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757239F"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04FE57B8"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2C77CFDD"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lastRenderedPageBreak/>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B6E1699" w14:textId="486AE53A"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9659FBC"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1"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1"/>
      <w:r w:rsidRPr="00C0067D">
        <w:rPr>
          <w:bCs/>
        </w:rPr>
        <w:t xml:space="preserve"> ve výši:</w:t>
      </w:r>
    </w:p>
    <w:p w14:paraId="6AADB2F4" w14:textId="4E527170"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4B73BAB" w14:textId="2527A2DC"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2478E0B8" w14:textId="6875F158"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4C51C544"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7809940C"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A948C8" w14:textId="77777777" w:rsidR="003B4595" w:rsidRPr="00DA2C52" w:rsidRDefault="003B4595" w:rsidP="003B4595">
      <w:pPr>
        <w:spacing w:line="280" w:lineRule="atLeast"/>
        <w:jc w:val="both"/>
        <w:rPr>
          <w:rFonts w:cs="Arial"/>
          <w:szCs w:val="20"/>
        </w:rPr>
      </w:pPr>
    </w:p>
    <w:p w14:paraId="0259EB10"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4E9B8673"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3F81C81D" w14:textId="77777777" w:rsidR="003B4595" w:rsidRPr="00DA2C52" w:rsidRDefault="003B4595" w:rsidP="003B4595">
      <w:pPr>
        <w:pStyle w:val="Zkladntext"/>
        <w:spacing w:line="280" w:lineRule="atLeast"/>
        <w:jc w:val="both"/>
        <w:rPr>
          <w:rFonts w:ascii="Arial" w:hAnsi="Arial" w:cs="Arial"/>
          <w:color w:val="auto"/>
          <w:sz w:val="20"/>
        </w:rPr>
      </w:pPr>
    </w:p>
    <w:p w14:paraId="70E6E550"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64F813AA"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C17464A" w14:textId="173D71F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43F03D14"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72640AF2" w14:textId="77777777" w:rsidR="003B4595" w:rsidRDefault="003B4595" w:rsidP="003B4595">
      <w:pPr>
        <w:widowControl w:val="0"/>
        <w:numPr>
          <w:ilvl w:val="0"/>
          <w:numId w:val="6"/>
        </w:numPr>
        <w:suppressAutoHyphens/>
        <w:spacing w:after="120" w:line="280" w:lineRule="atLeast"/>
        <w:ind w:left="426" w:hanging="426"/>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0304C839"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6981F22B" w14:textId="7D9B9E5A"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27D64049" w14:textId="3F46865C"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616D0B42"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2F55BB8B" w14:textId="5EF205E4"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tohoto článku neodpovídají sjednaným parametrům či hodnotám dle této smlouvy, nabídky či zadávací dokumentace, zakládá podstatné porušení smlouvy ze strany prodávajícího s možností odstoupení od smlouvy kupujícím.</w:t>
      </w:r>
    </w:p>
    <w:p w14:paraId="070891CD" w14:textId="1E53D037" w:rsidR="001E2BF5" w:rsidRDefault="00225547" w:rsidP="007931EC">
      <w:pPr>
        <w:widowControl w:val="0"/>
        <w:numPr>
          <w:ilvl w:val="0"/>
          <w:numId w:val="6"/>
        </w:numPr>
        <w:suppressAutoHyphens/>
        <w:spacing w:after="120" w:line="280" w:lineRule="atLeast"/>
        <w:ind w:left="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728EE03B" w14:textId="241DD41C" w:rsidR="00711621" w:rsidRDefault="001E2BF5" w:rsidP="001C793F">
      <w:pPr>
        <w:widowControl w:val="0"/>
        <w:numPr>
          <w:ilvl w:val="2"/>
          <w:numId w:val="6"/>
        </w:numPr>
        <w:suppressAutoHyphens/>
        <w:spacing w:line="280" w:lineRule="atLeast"/>
        <w:ind w:left="426"/>
        <w:jc w:val="both"/>
      </w:pPr>
      <w:r>
        <w:t xml:space="preserve">dokumentaci o IED v rozsahu a formě dle bodu 5. </w:t>
      </w:r>
      <w:r w:rsidRPr="00BF1E10">
        <w:rPr>
          <w:u w:val="single"/>
        </w:rPr>
        <w:t>přílohy 2</w:t>
      </w:r>
      <w:r>
        <w:t xml:space="preserve"> této smlouvy,</w:t>
      </w:r>
    </w:p>
    <w:p w14:paraId="6E3D3F20" w14:textId="45B8CCE6" w:rsidR="00711621" w:rsidRPr="00A567E5" w:rsidRDefault="001E2BF5" w:rsidP="001C793F">
      <w:pPr>
        <w:pStyle w:val="Odstavecseseznamem"/>
        <w:numPr>
          <w:ilvl w:val="2"/>
          <w:numId w:val="6"/>
        </w:numPr>
        <w:ind w:left="426"/>
      </w:pPr>
      <w:r>
        <w:t xml:space="preserve">provozní předpis v souladu s bodem 5.1 </w:t>
      </w:r>
      <w:r w:rsidRPr="00BF1E10">
        <w:rPr>
          <w:u w:val="single"/>
        </w:rPr>
        <w:t>přílohy 2</w:t>
      </w:r>
      <w:r>
        <w:t xml:space="preserve"> smlouvy</w:t>
      </w:r>
      <w:r w:rsidR="00711621">
        <w:t>,</w:t>
      </w:r>
    </w:p>
    <w:p w14:paraId="3EABAD08" w14:textId="5F99A94C" w:rsidR="00711621" w:rsidRDefault="001E2BF5" w:rsidP="0011612D">
      <w:pPr>
        <w:widowControl w:val="0"/>
        <w:numPr>
          <w:ilvl w:val="2"/>
          <w:numId w:val="6"/>
        </w:numPr>
        <w:suppressAutoHyphens/>
        <w:spacing w:after="120" w:line="280" w:lineRule="atLeast"/>
        <w:ind w:left="426"/>
        <w:jc w:val="both"/>
      </w:pPr>
      <w:r>
        <w:t xml:space="preserve">montážní předpis v souladu s bodem 5.3 </w:t>
      </w:r>
      <w:r w:rsidRPr="00BF1E10">
        <w:rPr>
          <w:u w:val="single"/>
        </w:rPr>
        <w:t>přílohy 2</w:t>
      </w:r>
      <w:r>
        <w:t xml:space="preserve"> smlouvy.</w:t>
      </w:r>
    </w:p>
    <w:p w14:paraId="5BD310E2" w14:textId="77777777"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4B3B9A26" w14:textId="77777777" w:rsidR="00620D2A" w:rsidRDefault="00620D2A" w:rsidP="00620D2A">
      <w:pPr>
        <w:widowControl w:val="0"/>
        <w:numPr>
          <w:ilvl w:val="0"/>
          <w:numId w:val="6"/>
        </w:numPr>
        <w:suppressAutoHyphens/>
        <w:spacing w:after="120" w:line="280" w:lineRule="atLeast"/>
        <w:ind w:left="426" w:hanging="426"/>
        <w:jc w:val="both"/>
      </w:pPr>
      <w:r>
        <w:t>Prodávající se zavazuje k proškolení pracovníků kupujícího</w:t>
      </w:r>
      <w:r w:rsidR="00F066F8">
        <w:t xml:space="preserve"> v souladu s bodem 5.7 </w:t>
      </w:r>
      <w:r w:rsidR="00F066F8" w:rsidRPr="00BF1E10">
        <w:rPr>
          <w:u w:val="single"/>
        </w:rPr>
        <w:t>přílohy 2</w:t>
      </w:r>
      <w:r w:rsidR="00F066F8">
        <w:t xml:space="preserve"> této smlouvy.</w:t>
      </w:r>
      <w:r w:rsidR="001E2BF5">
        <w:t xml:space="preserve"> Školení je zahrnuto v ceně zboží a proběhne po uzavření této smlouvy v termínu stanoveném na základě dohody mezi prodávajícím a kupujícím.</w:t>
      </w:r>
    </w:p>
    <w:p w14:paraId="2994B988" w14:textId="0EC6928F" w:rsidR="00006094" w:rsidRPr="00D248AF" w:rsidRDefault="00006094" w:rsidP="00006094">
      <w:pPr>
        <w:pStyle w:val="odstavec0"/>
        <w:numPr>
          <w:ilvl w:val="0"/>
          <w:numId w:val="6"/>
        </w:numPr>
        <w:ind w:left="360"/>
        <w:rPr>
          <w:bCs/>
        </w:rPr>
      </w:pPr>
      <w:r w:rsidRPr="00D248AF">
        <w:t xml:space="preserve">Dodavatel je povinen </w:t>
      </w:r>
      <w:r w:rsidRPr="00D248AF">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dodavatel povinen před započetím plnění zajistit jiný způsob komunikace s kupujícím)</w:t>
      </w:r>
      <w:r w:rsidR="0011612D">
        <w:rPr>
          <w:bCs/>
        </w:rPr>
        <w:t>.</w:t>
      </w:r>
    </w:p>
    <w:p w14:paraId="499E4C94" w14:textId="37DD6F80" w:rsidR="00006094" w:rsidRPr="00A554CA" w:rsidRDefault="00006094" w:rsidP="00006094">
      <w:pPr>
        <w:pStyle w:val="odstavec0"/>
        <w:numPr>
          <w:ilvl w:val="0"/>
          <w:numId w:val="6"/>
        </w:numPr>
        <w:ind w:left="360"/>
      </w:pPr>
      <w:r w:rsidRPr="00D248AF">
        <w:t xml:space="preserve">Dodavatel je povinen </w:t>
      </w:r>
      <w:r w:rsidRPr="00D248AF">
        <w:rPr>
          <w:bCs/>
        </w:rPr>
        <w:t>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11612D">
        <w:rPr>
          <w:bCs/>
        </w:rPr>
        <w:t>.</w:t>
      </w:r>
    </w:p>
    <w:p w14:paraId="450B52F2" w14:textId="7B16B4DE" w:rsidR="00A554CA" w:rsidRPr="00D248AF" w:rsidRDefault="00E360C4" w:rsidP="00006094">
      <w:pPr>
        <w:pStyle w:val="odstavec0"/>
        <w:numPr>
          <w:ilvl w:val="0"/>
          <w:numId w:val="6"/>
        </w:numPr>
        <w:ind w:left="360"/>
      </w:pPr>
      <w:r>
        <w:lastRenderedPageBreak/>
        <w:t>Na místě plnění musí být vždy přítomen pracovník prodávajícího uvedený v </w:t>
      </w:r>
      <w:r w:rsidRPr="00E360C4">
        <w:rPr>
          <w:u w:val="single"/>
        </w:rPr>
        <w:t>příloze 6</w:t>
      </w:r>
      <w:r>
        <w:t xml:space="preserve"> této smlouvy disponující platným osvědčením alespoň dle § 7 vyhlášky č. 50/1978 Sb.  </w:t>
      </w:r>
    </w:p>
    <w:p w14:paraId="0B2D4D63" w14:textId="6D646F06" w:rsidR="00006094" w:rsidRDefault="00006094" w:rsidP="0011612D">
      <w:pPr>
        <w:pStyle w:val="odstavec0"/>
        <w:numPr>
          <w:ilvl w:val="0"/>
          <w:numId w:val="6"/>
        </w:numPr>
        <w:ind w:left="360"/>
        <w:rPr>
          <w:bCs/>
        </w:rPr>
      </w:pPr>
      <w:r w:rsidRPr="00D248AF">
        <w:t>Všichni pracovníci dodavatele</w:t>
      </w:r>
      <w:r w:rsidRPr="00D248AF">
        <w:rPr>
          <w:bCs/>
        </w:rPr>
        <w:t xml:space="preserve"> či jeho poddodavatelů, podílející se na montáži předmětu plnění, jsou povinni mít během výkonu plnění u sebe pověření vystavené svým zaměstnavatelem či kopii platného osvědčení o kvalifikaci dle vyhlášky č. 50/1978 Sb. a kdykoliv jej na vyžádání </w:t>
      </w:r>
      <w:r>
        <w:rPr>
          <w:bCs/>
        </w:rPr>
        <w:t>Kupující</w:t>
      </w:r>
      <w:r w:rsidR="00BA0CF5">
        <w:rPr>
          <w:bCs/>
        </w:rPr>
        <w:t>ho</w:t>
      </w:r>
      <w:r w:rsidRPr="00D248AF">
        <w:rPr>
          <w:bCs/>
        </w:rPr>
        <w:t xml:space="preserve"> či jeho zástupce okamžitě předložit.</w:t>
      </w:r>
    </w:p>
    <w:p w14:paraId="4104314A" w14:textId="77777777" w:rsidR="0011612D" w:rsidRPr="0011612D" w:rsidRDefault="0011612D" w:rsidP="0011612D">
      <w:pPr>
        <w:pStyle w:val="odstavec0"/>
        <w:ind w:firstLine="0"/>
        <w:rPr>
          <w:bCs/>
        </w:rPr>
      </w:pPr>
    </w:p>
    <w:p w14:paraId="63FE8450" w14:textId="77777777" w:rsidR="00C80901" w:rsidRPr="00DA2C52" w:rsidRDefault="00C80901" w:rsidP="00060B31">
      <w:pPr>
        <w:spacing w:line="280" w:lineRule="atLeast"/>
        <w:ind w:left="340"/>
        <w:jc w:val="both"/>
        <w:rPr>
          <w:rFonts w:cs="Arial"/>
          <w:szCs w:val="20"/>
        </w:rPr>
      </w:pPr>
    </w:p>
    <w:p w14:paraId="3626D77E" w14:textId="77777777"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0B25BBDE" w14:textId="77777777"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41A4E4E0" w14:textId="77777777" w:rsidR="00A15FF1" w:rsidRPr="003B4595" w:rsidRDefault="00A15FF1" w:rsidP="003B4595">
      <w:pPr>
        <w:pStyle w:val="Odstavecseseznamem"/>
        <w:spacing w:line="280" w:lineRule="atLeast"/>
        <w:ind w:left="720"/>
        <w:jc w:val="center"/>
        <w:rPr>
          <w:rFonts w:cs="Arial"/>
          <w:b/>
        </w:rPr>
      </w:pPr>
    </w:p>
    <w:p w14:paraId="6DED4C2D" w14:textId="77777777"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w:t>
      </w:r>
      <w:r w:rsidR="00385ED2">
        <w:rPr>
          <w:rFonts w:cs="Arial"/>
        </w:rPr>
        <w:t xml:space="preserve">, a to do 31. 12. 2024 </w:t>
      </w:r>
      <w:r w:rsidRPr="005A25A0">
        <w:rPr>
          <w:rFonts w:cs="Arial"/>
        </w:rPr>
        <w:t>s účinností od okamžiku podpisu této smlouvy oběma smluvními stranami.</w:t>
      </w:r>
      <w:r>
        <w:rPr>
          <w:rFonts w:cs="Arial"/>
        </w:rPr>
        <w:t xml:space="preserve"> Tím nejsou dotčena další ustanovení tohoto článku.</w:t>
      </w:r>
      <w:r w:rsidRPr="005A25A0">
        <w:rPr>
          <w:rFonts w:cs="Arial"/>
        </w:rPr>
        <w:t xml:space="preserve"> </w:t>
      </w:r>
    </w:p>
    <w:p w14:paraId="43903C47"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0F655938"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E1C82A0"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66CC0053"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3B3565F1"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A9496B6"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01667486" w14:textId="47E8C2B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14:paraId="5290F931" w14:textId="77777777"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1EB4B5B4" w14:textId="77777777"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15AB84B9"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700F67E0" w14:textId="77777777" w:rsidR="003B4595" w:rsidRPr="002F7C90" w:rsidRDefault="003B4595" w:rsidP="003B4595">
      <w:pPr>
        <w:pStyle w:val="Odstavecseseznamem"/>
        <w:spacing w:line="280" w:lineRule="atLeast"/>
        <w:ind w:left="426"/>
        <w:contextualSpacing/>
        <w:jc w:val="both"/>
        <w:rPr>
          <w:rFonts w:cs="Arial"/>
          <w:szCs w:val="20"/>
        </w:rPr>
      </w:pPr>
    </w:p>
    <w:p w14:paraId="1A10DED5" w14:textId="2B98DB56" w:rsidR="003B4595" w:rsidRPr="002F7C90" w:rsidRDefault="003B4595" w:rsidP="003B4595">
      <w:pPr>
        <w:numPr>
          <w:ilvl w:val="1"/>
          <w:numId w:val="8"/>
        </w:numPr>
        <w:spacing w:after="120" w:line="276" w:lineRule="auto"/>
        <w:ind w:left="1434" w:hanging="357"/>
        <w:jc w:val="both"/>
        <w:rPr>
          <w:rFonts w:cs="Arial"/>
          <w:szCs w:val="20"/>
        </w:rPr>
      </w:pPr>
      <w:r w:rsidRPr="002F7C90">
        <w:rPr>
          <w:rFonts w:cs="Arial"/>
          <w:szCs w:val="20"/>
        </w:rPr>
        <w:t xml:space="preserve">vůči prodávajícímu nebo vůči členovi jeho statutárního orgánu nebo jiného orgánu (společně dále jen „podezřelý“) je vedeno trestní řízení, v rámci kterého je podezřelý obviněn či obžalován z toho, že spáchal trestný čin při plnění jakékoli zakázky nebo v souvislosti s plněním </w:t>
      </w:r>
      <w:r w:rsidR="00576897">
        <w:rPr>
          <w:rFonts w:cs="Arial"/>
          <w:szCs w:val="20"/>
        </w:rPr>
        <w:t>jakékoli</w:t>
      </w:r>
      <w:r w:rsidR="00576897" w:rsidRPr="002F7C90">
        <w:rPr>
          <w:rFonts w:cs="Arial"/>
          <w:szCs w:val="20"/>
        </w:rPr>
        <w:t xml:space="preserve"> </w:t>
      </w:r>
      <w:r w:rsidRPr="002F7C90">
        <w:rPr>
          <w:rFonts w:cs="Arial"/>
          <w:szCs w:val="20"/>
        </w:rPr>
        <w:t xml:space="preserve">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14415EEF" w14:textId="77777777" w:rsidR="003B4595" w:rsidRPr="00576897" w:rsidRDefault="003B4595" w:rsidP="00576897">
      <w:pPr>
        <w:numPr>
          <w:ilvl w:val="1"/>
          <w:numId w:val="8"/>
        </w:numPr>
        <w:spacing w:after="120" w:line="276" w:lineRule="auto"/>
        <w:ind w:left="1434" w:hanging="357"/>
        <w:jc w:val="both"/>
        <w:rPr>
          <w:rFonts w:cs="Arial"/>
          <w:szCs w:val="20"/>
        </w:rPr>
      </w:pPr>
      <w:r w:rsidRPr="00D71308">
        <w:rPr>
          <w:rFonts w:cs="Arial"/>
          <w:szCs w:val="20"/>
        </w:rPr>
        <w:lastRenderedPageBreak/>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AE3AA3A"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7B063DC5"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97CB271"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7FD666E6"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5F367B31"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820E788" w14:textId="12A88299" w:rsidR="003B4595" w:rsidRDefault="003B4595" w:rsidP="00576897">
      <w:pPr>
        <w:pStyle w:val="Odstavecseseznamem"/>
        <w:numPr>
          <w:ilvl w:val="0"/>
          <w:numId w:val="8"/>
        </w:numPr>
        <w:spacing w:after="120" w:line="280" w:lineRule="atLeast"/>
        <w:ind w:left="426" w:hanging="426"/>
        <w:jc w:val="both"/>
        <w:rPr>
          <w:rFonts w:cs="Arial"/>
          <w:szCs w:val="20"/>
        </w:rPr>
      </w:pPr>
      <w:bookmarkStart w:id="2" w:name="_GoBack"/>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5A6D43D" w14:textId="7BADA3AE" w:rsidR="002C1713" w:rsidRPr="00576897" w:rsidRDefault="002C1713" w:rsidP="00576897">
      <w:pPr>
        <w:pStyle w:val="Odstavecseseznamem"/>
        <w:numPr>
          <w:ilvl w:val="0"/>
          <w:numId w:val="8"/>
        </w:numPr>
        <w:spacing w:after="120" w:line="280" w:lineRule="atLeast"/>
        <w:ind w:left="426" w:hanging="426"/>
        <w:jc w:val="both"/>
        <w:rPr>
          <w:rFonts w:cs="Arial"/>
          <w:szCs w:val="20"/>
        </w:rPr>
      </w:pPr>
      <w:r>
        <w:t>V případě, že kupující odstoupí od smlouvy pro některé z porušení smlouvy prodávajícím specifikované v čl. VIII. odst. 3., 4. nebo 6. smlouvy, vyhrazuje si kupující v souladu s </w:t>
      </w:r>
      <w:proofErr w:type="spellStart"/>
      <w:r>
        <w:t>ust</w:t>
      </w:r>
      <w:proofErr w:type="spellEnd"/>
      <w:r>
        <w:t>. § 100 odst. 2 ZZVZ ve spojení s </w:t>
      </w:r>
      <w:proofErr w:type="spellStart"/>
      <w:r>
        <w:t>ust</w:t>
      </w:r>
      <w:proofErr w:type="spellEnd"/>
      <w:r>
        <w:t>. § 222 odst. 10 písm. a) ZZVZ použití oprávnění uvedeného v čl. 14 zadávací dokumentace, a to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w:t>
      </w:r>
    </w:p>
    <w:bookmarkEnd w:id="2"/>
    <w:p w14:paraId="2D280F95" w14:textId="77777777" w:rsidR="004829F0" w:rsidRPr="00DA2C52" w:rsidRDefault="004829F0" w:rsidP="00060B31">
      <w:pPr>
        <w:spacing w:line="280" w:lineRule="atLeast"/>
        <w:ind w:left="340"/>
        <w:jc w:val="both"/>
        <w:rPr>
          <w:rFonts w:cs="Arial"/>
          <w:szCs w:val="20"/>
        </w:rPr>
      </w:pPr>
    </w:p>
    <w:p w14:paraId="74EA9174"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65DB1689" w14:textId="77777777" w:rsidR="00D80B3A" w:rsidRDefault="00D80B3A" w:rsidP="00060B31">
      <w:pPr>
        <w:spacing w:line="280" w:lineRule="atLeast"/>
        <w:jc w:val="center"/>
        <w:rPr>
          <w:rFonts w:cs="Arial"/>
          <w:b/>
          <w:szCs w:val="20"/>
        </w:rPr>
      </w:pPr>
      <w:r>
        <w:rPr>
          <w:rFonts w:cs="Arial"/>
          <w:b/>
          <w:szCs w:val="20"/>
        </w:rPr>
        <w:t>Náhrada újmy, vyšší moc</w:t>
      </w:r>
    </w:p>
    <w:p w14:paraId="20FC684D" w14:textId="77777777" w:rsidR="00D80B3A" w:rsidRDefault="00D80B3A" w:rsidP="00060B31">
      <w:pPr>
        <w:spacing w:line="280" w:lineRule="atLeast"/>
        <w:jc w:val="center"/>
        <w:rPr>
          <w:rFonts w:cs="Arial"/>
          <w:b/>
          <w:szCs w:val="20"/>
        </w:rPr>
      </w:pPr>
    </w:p>
    <w:p w14:paraId="0E3A2658" w14:textId="0147F091" w:rsidR="003234C6" w:rsidRPr="007978AF" w:rsidRDefault="003234C6" w:rsidP="003234C6">
      <w:pPr>
        <w:numPr>
          <w:ilvl w:val="0"/>
          <w:numId w:val="3"/>
        </w:numPr>
        <w:spacing w:after="120" w:line="280" w:lineRule="atLeast"/>
        <w:jc w:val="both"/>
        <w:rPr>
          <w:rFonts w:cs="Arial"/>
          <w:b/>
          <w:szCs w:val="20"/>
        </w:rPr>
      </w:pPr>
      <w:bookmarkStart w:id="3"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3"/>
    <w:p w14:paraId="67DDC5AC"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41F5512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7B37B7D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23955993"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339A308C"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D454406"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254F79DD" w14:textId="77777777" w:rsidR="00AB4DDE" w:rsidRPr="00C53B57" w:rsidRDefault="00AB4DDE" w:rsidP="00594509">
      <w:pPr>
        <w:spacing w:line="280" w:lineRule="atLeast"/>
        <w:jc w:val="both"/>
        <w:rPr>
          <w:rFonts w:cs="Arial"/>
          <w:b/>
          <w:szCs w:val="20"/>
        </w:rPr>
      </w:pPr>
    </w:p>
    <w:p w14:paraId="7502EB66" w14:textId="77777777" w:rsidR="00381AD5" w:rsidRDefault="00381AD5" w:rsidP="00381AD5">
      <w:pPr>
        <w:pStyle w:val="Odstavecseseznamem"/>
        <w:rPr>
          <w:rFonts w:cs="Arial"/>
          <w:b/>
          <w:szCs w:val="20"/>
        </w:rPr>
      </w:pPr>
    </w:p>
    <w:p w14:paraId="0C0D9946" w14:textId="77777777" w:rsidR="00AB4DDE" w:rsidRDefault="00AB4DDE" w:rsidP="00AB4DDE">
      <w:pPr>
        <w:spacing w:line="280" w:lineRule="atLeast"/>
        <w:jc w:val="center"/>
        <w:rPr>
          <w:rFonts w:cs="Arial"/>
          <w:b/>
          <w:bCs/>
          <w:szCs w:val="20"/>
        </w:rPr>
      </w:pPr>
      <w:r>
        <w:rPr>
          <w:b/>
          <w:bCs/>
        </w:rPr>
        <w:t>X.</w:t>
      </w:r>
    </w:p>
    <w:p w14:paraId="00BDD798"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0E048870"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EF2D63A"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511547D"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24E3004D" w14:textId="77777777" w:rsidR="00AB4DDE" w:rsidRPr="001520D1"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4"/>
    </w:p>
    <w:p w14:paraId="338F48FD" w14:textId="77777777" w:rsidR="001520D1" w:rsidRDefault="001520D1" w:rsidP="001520D1">
      <w:pPr>
        <w:spacing w:line="280" w:lineRule="atLeast"/>
        <w:contextualSpacing/>
        <w:jc w:val="both"/>
        <w:rPr>
          <w:rFonts w:cs="Arial"/>
          <w:color w:val="1E1E1E"/>
          <w:szCs w:val="20"/>
        </w:rPr>
      </w:pPr>
    </w:p>
    <w:p w14:paraId="1AEFE289" w14:textId="77777777" w:rsidR="001520D1" w:rsidRDefault="001520D1" w:rsidP="001520D1">
      <w:pPr>
        <w:spacing w:line="280" w:lineRule="atLeast"/>
        <w:jc w:val="center"/>
        <w:rPr>
          <w:rFonts w:cs="Arial"/>
          <w:b/>
          <w:bCs/>
          <w:szCs w:val="20"/>
        </w:rPr>
      </w:pPr>
      <w:r>
        <w:rPr>
          <w:b/>
          <w:bCs/>
        </w:rPr>
        <w:t>XI.</w:t>
      </w:r>
    </w:p>
    <w:p w14:paraId="7FD26653" w14:textId="77777777" w:rsidR="001520D1" w:rsidRDefault="001520D1" w:rsidP="001520D1">
      <w:pPr>
        <w:spacing w:after="200" w:line="280" w:lineRule="atLeast"/>
        <w:jc w:val="center"/>
        <w:rPr>
          <w:b/>
          <w:bCs/>
        </w:rPr>
      </w:pPr>
      <w:r>
        <w:rPr>
          <w:b/>
          <w:bCs/>
        </w:rPr>
        <w:t>Ostatní ujednání</w:t>
      </w:r>
    </w:p>
    <w:p w14:paraId="45AC8612" w14:textId="77777777" w:rsidR="001520D1" w:rsidRPr="00F54F28" w:rsidRDefault="001520D1" w:rsidP="00F54F28">
      <w:pPr>
        <w:pStyle w:val="Odstavecseseznamem"/>
        <w:numPr>
          <w:ilvl w:val="0"/>
          <w:numId w:val="23"/>
        </w:numPr>
        <w:spacing w:line="280" w:lineRule="atLeast"/>
        <w:ind w:left="340" w:hanging="340"/>
        <w:rPr>
          <w:rFonts w:cs="Arial"/>
          <w:bCs/>
          <w:iCs/>
          <w:szCs w:val="20"/>
        </w:rPr>
      </w:pPr>
      <w:r w:rsidRPr="00F54F28">
        <w:rPr>
          <w:rFonts w:cs="Arial"/>
          <w:iCs/>
          <w:szCs w:val="20"/>
        </w:rPr>
        <w:t>Prodávající bere na vědomí, že kupující hodlá na úhradu ceny dle této smlouvy, tj. na úhradu ceny předmětu veřejné zakázky, využít též veřejné prostředky, zejména pak finanční prostředky Evropské unie, k čemuž kupující uzavřel s Výkonnou agenturou pro inovace a sítě („</w:t>
      </w:r>
      <w:r w:rsidRPr="00F54F28">
        <w:rPr>
          <w:rFonts w:cs="Arial"/>
          <w:bCs/>
          <w:iCs/>
          <w:szCs w:val="20"/>
        </w:rPr>
        <w:t>Agentura</w:t>
      </w:r>
      <w:r w:rsidRPr="00F54F28">
        <w:rPr>
          <w:rFonts w:cs="Arial"/>
          <w:iCs/>
          <w:szCs w:val="20"/>
        </w:rPr>
        <w:t>“) grantovou smlouvu INEA/CEF/ENER/M2018/1749672 („</w:t>
      </w:r>
      <w:r w:rsidRPr="00F54F28">
        <w:rPr>
          <w:rFonts w:cs="Arial"/>
          <w:bCs/>
          <w:iCs/>
          <w:szCs w:val="20"/>
        </w:rPr>
        <w:t>Grantová smlouva</w:t>
      </w:r>
      <w:r w:rsidRPr="00F54F28">
        <w:rPr>
          <w:rFonts w:cs="Arial"/>
          <w:iCs/>
          <w:szCs w:val="20"/>
        </w:rPr>
        <w:t xml:space="preserve">“). Předmětem Grantové smlouvy je za podmínek v ní stanovených spolufinancování projektu s názvem „ACON Smart </w:t>
      </w:r>
      <w:proofErr w:type="spellStart"/>
      <w:r w:rsidRPr="00F54F28">
        <w:rPr>
          <w:rFonts w:cs="Arial"/>
          <w:iCs/>
          <w:szCs w:val="20"/>
        </w:rPr>
        <w:t>Grids</w:t>
      </w:r>
      <w:proofErr w:type="spellEnd"/>
      <w:r w:rsidRPr="00F54F28">
        <w:rPr>
          <w:rFonts w:cs="Arial"/>
          <w:iCs/>
          <w:szCs w:val="20"/>
        </w:rPr>
        <w:t>“ („</w:t>
      </w:r>
      <w:r w:rsidRPr="00F54F28">
        <w:rPr>
          <w:rFonts w:cs="Arial"/>
          <w:bCs/>
          <w:iCs/>
          <w:szCs w:val="20"/>
        </w:rPr>
        <w:t>Projekt</w:t>
      </w:r>
      <w:r w:rsidRPr="00F54F28">
        <w:rPr>
          <w:rFonts w:cs="Arial"/>
          <w:iCs/>
          <w:szCs w:val="20"/>
        </w:rPr>
        <w:t>“), jehož je předmět plnění této smlouvy součástí.</w:t>
      </w:r>
    </w:p>
    <w:p w14:paraId="06A04D90" w14:textId="77777777" w:rsidR="001520D1" w:rsidRPr="00F54F28" w:rsidRDefault="001520D1" w:rsidP="001520D1">
      <w:pPr>
        <w:pStyle w:val="Odstavecseseznamem"/>
        <w:ind w:left="360"/>
        <w:rPr>
          <w:rFonts w:cs="Arial"/>
          <w:b/>
          <w:bCs/>
          <w:iCs/>
          <w:szCs w:val="20"/>
        </w:rPr>
      </w:pPr>
    </w:p>
    <w:p w14:paraId="4ECC4BCD" w14:textId="77777777" w:rsidR="001520D1" w:rsidRPr="00F54F28" w:rsidRDefault="001520D1" w:rsidP="00F54F28">
      <w:pPr>
        <w:numPr>
          <w:ilvl w:val="0"/>
          <w:numId w:val="23"/>
        </w:numPr>
        <w:spacing w:line="280" w:lineRule="atLeast"/>
        <w:ind w:left="340" w:hanging="340"/>
        <w:rPr>
          <w:rFonts w:cs="Arial"/>
          <w:b/>
          <w:bCs/>
          <w:iCs/>
          <w:szCs w:val="20"/>
        </w:rPr>
      </w:pPr>
      <w:r w:rsidRPr="00F54F28">
        <w:rPr>
          <w:rFonts w:cs="Arial"/>
          <w:iCs/>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E84E40C" w14:textId="77777777" w:rsidR="001520D1" w:rsidRPr="00F54F28" w:rsidRDefault="001520D1" w:rsidP="001520D1">
      <w:pPr>
        <w:ind w:left="360"/>
        <w:rPr>
          <w:rFonts w:cs="Arial"/>
          <w:b/>
          <w:bCs/>
          <w:iCs/>
          <w:szCs w:val="20"/>
        </w:rPr>
      </w:pPr>
    </w:p>
    <w:p w14:paraId="1B2D5B68" w14:textId="77777777" w:rsidR="001520D1" w:rsidRPr="00F54F28" w:rsidRDefault="001520D1" w:rsidP="0011612D">
      <w:pPr>
        <w:numPr>
          <w:ilvl w:val="0"/>
          <w:numId w:val="23"/>
        </w:numPr>
        <w:spacing w:line="280" w:lineRule="atLeast"/>
        <w:ind w:left="340" w:hanging="340"/>
        <w:rPr>
          <w:rFonts w:cs="Arial"/>
          <w:b/>
          <w:bCs/>
          <w:iCs/>
          <w:szCs w:val="20"/>
        </w:rPr>
      </w:pPr>
      <w:r w:rsidRPr="00F54F28">
        <w:rPr>
          <w:rFonts w:cs="Arial"/>
          <w:iCs/>
          <w:szCs w:val="20"/>
        </w:rPr>
        <w:t>Prodávající tímto prohlašuje, že nemá a ani uzavřením smlouvy nebude uplatňovat vůči Agentuře podle Grantové smlouvy žádná práva.</w:t>
      </w:r>
    </w:p>
    <w:p w14:paraId="36185D5A" w14:textId="77777777" w:rsidR="001520D1" w:rsidRPr="00F54F28" w:rsidRDefault="001520D1" w:rsidP="001520D1">
      <w:pPr>
        <w:ind w:left="360"/>
        <w:rPr>
          <w:rFonts w:cs="Arial"/>
          <w:b/>
          <w:bCs/>
          <w:iCs/>
          <w:szCs w:val="20"/>
        </w:rPr>
      </w:pPr>
    </w:p>
    <w:p w14:paraId="5FC224DA" w14:textId="77777777" w:rsidR="001520D1" w:rsidRPr="00F54F28" w:rsidRDefault="001520D1" w:rsidP="0011612D">
      <w:pPr>
        <w:numPr>
          <w:ilvl w:val="0"/>
          <w:numId w:val="23"/>
        </w:numPr>
        <w:spacing w:line="280" w:lineRule="atLeast"/>
        <w:ind w:left="340" w:hanging="340"/>
        <w:rPr>
          <w:rFonts w:cs="Arial"/>
          <w:iCs/>
          <w:szCs w:val="20"/>
        </w:rPr>
      </w:pPr>
      <w:r w:rsidRPr="00F54F28">
        <w:rPr>
          <w:rFonts w:cs="Arial"/>
          <w:iCs/>
          <w:szCs w:val="20"/>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příjemce z ustanovení článku II.3, II.4, II.5, II.8 Grantové smlouvy tak, jak jsou tato ustanovení citována níže kurzívou.</w:t>
      </w:r>
    </w:p>
    <w:p w14:paraId="360CB343" w14:textId="77777777" w:rsidR="001520D1" w:rsidRDefault="001520D1" w:rsidP="001520D1">
      <w:pPr>
        <w:pStyle w:val="Odstavecseseznamem"/>
        <w:rPr>
          <w:iCs/>
        </w:rPr>
      </w:pPr>
    </w:p>
    <w:p w14:paraId="2045D2AE" w14:textId="77777777" w:rsidR="001520D1" w:rsidRDefault="001520D1" w:rsidP="001520D1">
      <w:pPr>
        <w:ind w:firstLine="708"/>
        <w:rPr>
          <w:b/>
          <w:bCs/>
          <w:i/>
          <w:iCs/>
        </w:rPr>
      </w:pPr>
      <w:r>
        <w:rPr>
          <w:b/>
          <w:bCs/>
          <w:i/>
          <w:iCs/>
        </w:rPr>
        <w:t>Článek II. 3 Grantové smlouvy – Odpovědnost za škody</w:t>
      </w:r>
    </w:p>
    <w:p w14:paraId="31B01FAC" w14:textId="77777777" w:rsidR="001520D1" w:rsidRDefault="001520D1" w:rsidP="001520D1">
      <w:pPr>
        <w:ind w:left="720" w:hanging="12"/>
        <w:rPr>
          <w:i/>
          <w:iCs/>
        </w:rPr>
      </w:pPr>
      <w:r>
        <w:rPr>
          <w:i/>
          <w:iCs/>
        </w:rPr>
        <w:t xml:space="preserve">II.3.1     Agentura nenese odpovědnost za žádné škody způsobené příjemcům nebo třetím stranám v důsledku nebo v průběhu realizace Projektu. </w:t>
      </w:r>
    </w:p>
    <w:p w14:paraId="4CBBE7BE" w14:textId="77777777" w:rsidR="001520D1" w:rsidRDefault="001520D1" w:rsidP="001520D1">
      <w:pPr>
        <w:ind w:left="720" w:hanging="12"/>
        <w:rPr>
          <w:i/>
          <w:iCs/>
        </w:rPr>
      </w:pPr>
      <w:r>
        <w:rPr>
          <w:i/>
          <w:iCs/>
        </w:rPr>
        <w:t>II.3.2     S výjimkou případů vyšší moci příjemci nahradí Agentuře jakoukoli škodu, která jí vznikla v důsledku realizace Projektu, nebo proto, že Projekt nebyl realizován plně v souladu s Grantovou smlouvou.</w:t>
      </w:r>
    </w:p>
    <w:p w14:paraId="5FB65131" w14:textId="77777777" w:rsidR="001520D1" w:rsidRDefault="001520D1" w:rsidP="001520D1">
      <w:pPr>
        <w:ind w:left="720" w:hanging="720"/>
        <w:rPr>
          <w:i/>
          <w:iCs/>
        </w:rPr>
      </w:pPr>
    </w:p>
    <w:p w14:paraId="7055B797" w14:textId="77777777" w:rsidR="001520D1" w:rsidRDefault="001520D1" w:rsidP="001520D1">
      <w:pPr>
        <w:ind w:firstLine="708"/>
        <w:rPr>
          <w:b/>
          <w:bCs/>
          <w:i/>
          <w:iCs/>
        </w:rPr>
      </w:pPr>
      <w:r>
        <w:rPr>
          <w:b/>
          <w:bCs/>
          <w:i/>
          <w:iCs/>
        </w:rPr>
        <w:t>Článek II.4 Grantové smlouvy – Střet zájmů</w:t>
      </w:r>
    </w:p>
    <w:p w14:paraId="23710030" w14:textId="77777777" w:rsidR="001520D1" w:rsidRDefault="001520D1" w:rsidP="001520D1">
      <w:pPr>
        <w:ind w:left="720" w:hanging="12"/>
        <w:rPr>
          <w:i/>
          <w:iCs/>
        </w:rPr>
      </w:pPr>
      <w:proofErr w:type="gramStart"/>
      <w:r>
        <w:rPr>
          <w:i/>
          <w:iCs/>
        </w:rPr>
        <w:t>II.4.1</w:t>
      </w:r>
      <w:proofErr w:type="gramEnd"/>
      <w:r>
        <w:rPr>
          <w:i/>
          <w:iCs/>
        </w:rPr>
        <w:t xml:space="preserve">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w:t>
      </w:r>
      <w:r>
        <w:rPr>
          <w:i/>
          <w:iCs/>
        </w:rPr>
        <w:lastRenderedPageBreak/>
        <w:t>citovými vazbami nebo jakýmkoli jiným společným zájmem souvisejícím s předmětem Grantové smlouvy  („střet zájmů“).</w:t>
      </w:r>
    </w:p>
    <w:p w14:paraId="4120ED4E" w14:textId="77777777" w:rsidR="001520D1" w:rsidRDefault="001520D1" w:rsidP="001520D1">
      <w:pPr>
        <w:ind w:left="720" w:hanging="12"/>
        <w:rPr>
          <w:i/>
          <w:iCs/>
        </w:rPr>
      </w:pPr>
      <w:r>
        <w:rPr>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273CA832" w14:textId="77777777" w:rsidR="001520D1" w:rsidRDefault="001520D1" w:rsidP="001520D1">
      <w:pPr>
        <w:rPr>
          <w:i/>
          <w:iCs/>
        </w:rPr>
      </w:pPr>
    </w:p>
    <w:p w14:paraId="5D0D5E5A" w14:textId="77777777" w:rsidR="001520D1" w:rsidRDefault="001520D1" w:rsidP="001520D1">
      <w:pPr>
        <w:ind w:firstLine="708"/>
        <w:rPr>
          <w:b/>
          <w:bCs/>
          <w:i/>
          <w:iCs/>
        </w:rPr>
      </w:pPr>
      <w:r>
        <w:rPr>
          <w:b/>
          <w:bCs/>
          <w:i/>
          <w:iCs/>
        </w:rPr>
        <w:t>Článek II.5 Grantové smlouvy – Důvěrnost informací</w:t>
      </w:r>
    </w:p>
    <w:p w14:paraId="64E99AE1" w14:textId="77777777" w:rsidR="001520D1" w:rsidRDefault="001520D1" w:rsidP="001520D1">
      <w:pPr>
        <w:ind w:left="720" w:hanging="12"/>
        <w:rPr>
          <w:i/>
          <w:iCs/>
        </w:rPr>
      </w:pPr>
      <w:r>
        <w:rPr>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70E79110" w14:textId="77777777" w:rsidR="001520D1" w:rsidRDefault="001520D1" w:rsidP="001520D1">
      <w:pPr>
        <w:ind w:left="720" w:hanging="12"/>
        <w:rPr>
          <w:i/>
          <w:iCs/>
        </w:rPr>
      </w:pPr>
      <w:r>
        <w:rPr>
          <w:i/>
          <w:iCs/>
        </w:rPr>
        <w:t>II.5.2     Pokud není s druhou stranou písemně dohodnuto jinak, nesmí příjemci použít důvěrné informace a dokumenty k jinému účelu než plnění jejich povinností dle Grantové smlouvy.</w:t>
      </w:r>
    </w:p>
    <w:p w14:paraId="7EB4FF28" w14:textId="77777777" w:rsidR="001520D1" w:rsidRDefault="001520D1" w:rsidP="001520D1">
      <w:pPr>
        <w:ind w:left="720" w:hanging="12"/>
        <w:rPr>
          <w:i/>
          <w:iCs/>
        </w:rPr>
      </w:pPr>
      <w:r>
        <w:rPr>
          <w:i/>
          <w:iCs/>
        </w:rPr>
        <w:t xml:space="preserve">II.5.3     Agentura a Příjemci jsou vázáni povinnostmi stanovenými v článcích II.5.1 a II.5.2 v průběhu plnění Grantové smlouvy a po dobu 5 let od proplacení zůstatku, s výjimkou případů, kdy: </w:t>
      </w:r>
    </w:p>
    <w:p w14:paraId="00AD948D"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strana, které dané informace poskytla, této povinnosti druhou stranu předem zprostí;</w:t>
      </w:r>
    </w:p>
    <w:p w14:paraId="1E2891CF"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důvěrné informace se stanou veřejnými, aniž by došlo k porušení povinnosti mlčenlivosti některou ze stran vázané touto povinností;</w:t>
      </w:r>
    </w:p>
    <w:p w14:paraId="156E689A"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poskytnutí důvěrných informací je vyžadováno právními předpisy.</w:t>
      </w:r>
    </w:p>
    <w:p w14:paraId="47AF95FA" w14:textId="77777777" w:rsidR="001520D1" w:rsidRDefault="001520D1" w:rsidP="001520D1">
      <w:pPr>
        <w:rPr>
          <w:i/>
          <w:iCs/>
        </w:rPr>
      </w:pPr>
    </w:p>
    <w:p w14:paraId="36197897" w14:textId="77777777" w:rsidR="001520D1" w:rsidRDefault="001520D1" w:rsidP="001520D1">
      <w:pPr>
        <w:ind w:firstLine="708"/>
        <w:rPr>
          <w:b/>
          <w:bCs/>
          <w:i/>
          <w:iCs/>
        </w:rPr>
      </w:pPr>
      <w:r>
        <w:rPr>
          <w:b/>
          <w:bCs/>
          <w:i/>
          <w:iCs/>
        </w:rPr>
        <w:t xml:space="preserve">Článek II.8 Grantové smlouvy – Existující práva, vlastnictví a využívání výsledků </w:t>
      </w:r>
    </w:p>
    <w:p w14:paraId="0A341612" w14:textId="77777777" w:rsidR="001520D1" w:rsidRDefault="001520D1" w:rsidP="001520D1">
      <w:pPr>
        <w:ind w:left="720" w:hanging="12"/>
        <w:rPr>
          <w:i/>
          <w:iCs/>
        </w:rPr>
      </w:pPr>
      <w:r>
        <w:rPr>
          <w:i/>
          <w:iCs/>
        </w:rPr>
        <w:t xml:space="preserve">II.8.1     </w:t>
      </w:r>
      <w:r>
        <w:rPr>
          <w:b/>
          <w:bCs/>
          <w:i/>
          <w:iCs/>
        </w:rPr>
        <w:t>Vlastnictví výsledků příjemci</w:t>
      </w:r>
    </w:p>
    <w:p w14:paraId="0B3F6285" w14:textId="77777777" w:rsidR="001520D1" w:rsidRDefault="001520D1" w:rsidP="001520D1">
      <w:pPr>
        <w:ind w:left="720"/>
        <w:rPr>
          <w:i/>
          <w:iCs/>
        </w:rPr>
      </w:pPr>
      <w:r>
        <w:rPr>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9B341B7" w14:textId="77777777" w:rsidR="001520D1" w:rsidRDefault="001520D1" w:rsidP="001520D1">
      <w:pPr>
        <w:ind w:left="720" w:hanging="12"/>
        <w:rPr>
          <w:i/>
          <w:iCs/>
        </w:rPr>
      </w:pPr>
    </w:p>
    <w:p w14:paraId="0CECC234" w14:textId="77777777" w:rsidR="001520D1" w:rsidRDefault="001520D1" w:rsidP="001520D1">
      <w:pPr>
        <w:ind w:left="720" w:hanging="12"/>
        <w:rPr>
          <w:i/>
          <w:iCs/>
        </w:rPr>
      </w:pPr>
      <w:r>
        <w:rPr>
          <w:i/>
          <w:iCs/>
        </w:rPr>
        <w:t xml:space="preserve">II.8.2     </w:t>
      </w:r>
      <w:r>
        <w:rPr>
          <w:b/>
          <w:bCs/>
          <w:i/>
          <w:iCs/>
        </w:rPr>
        <w:t>Stávající práva</w:t>
      </w:r>
    </w:p>
    <w:p w14:paraId="71E30B9F" w14:textId="77777777" w:rsidR="001520D1" w:rsidRDefault="001520D1" w:rsidP="001520D1">
      <w:pPr>
        <w:ind w:left="742" w:hanging="34"/>
        <w:rPr>
          <w:i/>
          <w:iCs/>
        </w:rPr>
      </w:pPr>
      <w:r>
        <w:rPr>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2E41BE96" w14:textId="77777777" w:rsidR="001520D1" w:rsidRDefault="001520D1" w:rsidP="001520D1">
      <w:pPr>
        <w:ind w:left="720" w:hanging="720"/>
        <w:rPr>
          <w:i/>
          <w:iCs/>
        </w:rPr>
      </w:pPr>
      <w:r>
        <w:rPr>
          <w:i/>
          <w:iCs/>
        </w:rPr>
        <w:t>              Pokud Agentura písemně požádá příjemce, že hodlá využít některé výsledky, příjemce musí:</w:t>
      </w:r>
    </w:p>
    <w:p w14:paraId="2B3942A8" w14:textId="77777777" w:rsidR="001520D1" w:rsidRDefault="001520D1" w:rsidP="001520D1">
      <w:pPr>
        <w:pStyle w:val="Odstavecseseznamem"/>
        <w:numPr>
          <w:ilvl w:val="0"/>
          <w:numId w:val="25"/>
        </w:numPr>
        <w:spacing w:before="120"/>
        <w:ind w:left="1167" w:hanging="425"/>
        <w:contextualSpacing/>
        <w:jc w:val="both"/>
        <w:rPr>
          <w:i/>
          <w:iCs/>
        </w:rPr>
      </w:pPr>
      <w:r>
        <w:rPr>
          <w:i/>
          <w:iCs/>
        </w:rPr>
        <w:t>vytvořit seznam obsahující všechny již existující práva obsažená v těchto výsledcích; a</w:t>
      </w:r>
    </w:p>
    <w:p w14:paraId="4EBEE96B" w14:textId="77777777" w:rsidR="001520D1" w:rsidRDefault="001520D1" w:rsidP="001520D1">
      <w:pPr>
        <w:pStyle w:val="Odstavecseseznamem"/>
        <w:numPr>
          <w:ilvl w:val="0"/>
          <w:numId w:val="25"/>
        </w:numPr>
        <w:spacing w:before="120"/>
        <w:ind w:left="1167" w:hanging="425"/>
        <w:contextualSpacing/>
        <w:jc w:val="both"/>
        <w:rPr>
          <w:i/>
          <w:iCs/>
        </w:rPr>
      </w:pPr>
      <w:r>
        <w:rPr>
          <w:i/>
          <w:iCs/>
        </w:rPr>
        <w:t>poskytne tento seznam Agentuře nejpozději se žádostí o platbu zůstatku.</w:t>
      </w:r>
    </w:p>
    <w:p w14:paraId="0D0D852A" w14:textId="77777777" w:rsidR="001520D1" w:rsidRDefault="001520D1" w:rsidP="001520D1">
      <w:pPr>
        <w:ind w:left="742"/>
        <w:rPr>
          <w:i/>
          <w:iCs/>
        </w:rPr>
      </w:pPr>
      <w:r>
        <w:rPr>
          <w:i/>
          <w:iCs/>
        </w:rPr>
        <w:t>Příjemci zajistí, aby měly i jejich přidružené subjekty v průběhu realizace Grantové smlouvy veškerá práva na využívání jakýchkoli již existujících práv.</w:t>
      </w:r>
    </w:p>
    <w:p w14:paraId="5ABA672F" w14:textId="77777777" w:rsidR="001520D1" w:rsidRDefault="001520D1" w:rsidP="001520D1">
      <w:pPr>
        <w:ind w:left="600" w:hanging="720"/>
        <w:rPr>
          <w:i/>
          <w:iCs/>
        </w:rPr>
      </w:pPr>
    </w:p>
    <w:p w14:paraId="3C15687E" w14:textId="77777777" w:rsidR="001520D1" w:rsidRDefault="001520D1" w:rsidP="001520D1">
      <w:pPr>
        <w:ind w:left="720" w:hanging="72"/>
        <w:rPr>
          <w:i/>
          <w:iCs/>
        </w:rPr>
      </w:pPr>
      <w:r>
        <w:rPr>
          <w:i/>
          <w:iCs/>
        </w:rPr>
        <w:t xml:space="preserve">  II.8.3       </w:t>
      </w:r>
      <w:r>
        <w:rPr>
          <w:b/>
          <w:bCs/>
          <w:i/>
          <w:iCs/>
        </w:rPr>
        <w:t>Práva k využívání výsledků a stávajících práv Agenturou</w:t>
      </w:r>
    </w:p>
    <w:p w14:paraId="1C566B43" w14:textId="77777777" w:rsidR="001520D1" w:rsidRDefault="001520D1" w:rsidP="001520D1">
      <w:pPr>
        <w:ind w:left="648" w:hanging="648"/>
        <w:rPr>
          <w:i/>
          <w:iCs/>
        </w:rPr>
      </w:pPr>
      <w:r>
        <w:rPr>
          <w:i/>
          <w:iCs/>
        </w:rPr>
        <w:t xml:space="preserve">              Příjemci poskytují Agentuře následující práva k využití výsledků projektu: </w:t>
      </w:r>
    </w:p>
    <w:p w14:paraId="3A5DB9BD"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38AB5DAE"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rozmnožování: právo povolit přímé nebo nepřímé, dočasné nebo trvalé šíření výsledků jakýmikoliv prostředky (mechanickými, digitálními nebo jinými) a v jakékoli formě, zcela nebo zčásti;</w:t>
      </w:r>
    </w:p>
    <w:p w14:paraId="2135A3C5"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1D881F4"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šíření: právo šířit výsledky nebo kopie výsledků veřejnosti všemi autorizovanými způsoby;</w:t>
      </w:r>
    </w:p>
    <w:p w14:paraId="09FE28C3"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úprava: právo změnit výsledky;</w:t>
      </w:r>
    </w:p>
    <w:p w14:paraId="766E8060"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lastRenderedPageBreak/>
        <w:t>překlad;</w:t>
      </w:r>
    </w:p>
    <w:p w14:paraId="083FE448"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právo uchovávat a archivovat výsledky v souladu s pravidly správy dokumentů závaznými pro Agenturu, včetně digitalizace nebo převedení formátu pro účely konverze nebo nového použití;</w:t>
      </w:r>
    </w:p>
    <w:p w14:paraId="162545F2"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2EF919B3" w14:textId="77777777" w:rsidR="001520D1" w:rsidRDefault="001520D1" w:rsidP="0011612D">
      <w:pPr>
        <w:ind w:left="709" w:hanging="340"/>
        <w:rPr>
          <w:i/>
          <w:iCs/>
        </w:rPr>
      </w:pPr>
      <w:r>
        <w:rPr>
          <w:i/>
          <w:iCs/>
        </w:rPr>
        <w:t>Další užívací práva svědčící Agentuře mohou být upravena Zvláštními podmínkami.</w:t>
      </w:r>
    </w:p>
    <w:p w14:paraId="255BB821" w14:textId="77777777" w:rsidR="001520D1" w:rsidRDefault="001520D1" w:rsidP="0011612D">
      <w:pPr>
        <w:ind w:left="708" w:hanging="340"/>
        <w:rPr>
          <w:i/>
          <w:iCs/>
        </w:rPr>
      </w:pPr>
    </w:p>
    <w:p w14:paraId="4AB38422" w14:textId="77777777" w:rsidR="001520D1" w:rsidRDefault="001520D1" w:rsidP="0011612D">
      <w:pPr>
        <w:ind w:left="708" w:hanging="340"/>
        <w:rPr>
          <w:i/>
          <w:iCs/>
        </w:rPr>
      </w:pPr>
      <w:r>
        <w:rPr>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63E0E464" w14:textId="77777777" w:rsidR="001520D1" w:rsidRDefault="001520D1" w:rsidP="0011612D">
      <w:pPr>
        <w:ind w:left="708" w:hanging="340"/>
        <w:rPr>
          <w:i/>
          <w:iCs/>
        </w:rPr>
      </w:pPr>
    </w:p>
    <w:p w14:paraId="45A6BA94" w14:textId="77777777" w:rsidR="001520D1" w:rsidRDefault="001520D1" w:rsidP="0011612D">
      <w:pPr>
        <w:ind w:left="708" w:hanging="340"/>
        <w:rPr>
          <w:i/>
          <w:iCs/>
        </w:rPr>
      </w:pPr>
      <w:r>
        <w:rPr>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w:t>
      </w:r>
      <w:proofErr w:type="spellStart"/>
      <w:r>
        <w:rPr>
          <w:i/>
          <w:iCs/>
        </w:rPr>
        <w:t>Innovation</w:t>
      </w:r>
      <w:proofErr w:type="spellEnd"/>
      <w:r>
        <w:rPr>
          <w:i/>
          <w:iCs/>
        </w:rPr>
        <w:t xml:space="preserve"> and Network </w:t>
      </w:r>
      <w:proofErr w:type="spellStart"/>
      <w:r>
        <w:rPr>
          <w:i/>
          <w:iCs/>
        </w:rPr>
        <w:t>Agency</w:t>
      </w:r>
      <w:proofErr w:type="spellEnd"/>
      <w:r>
        <w:rPr>
          <w:i/>
          <w:iCs/>
        </w:rPr>
        <w:t xml:space="preserve"> v souladu s jejími podmínkami.“</w:t>
      </w:r>
    </w:p>
    <w:p w14:paraId="34A37DB1" w14:textId="77777777" w:rsidR="00BD1DE0" w:rsidRPr="00594509" w:rsidRDefault="00BD1DE0" w:rsidP="00594509">
      <w:pPr>
        <w:rPr>
          <w:rFonts w:cs="Arial"/>
          <w:b/>
          <w:szCs w:val="20"/>
        </w:rPr>
      </w:pPr>
      <w:bookmarkStart w:id="5" w:name="_Hlk2848296"/>
    </w:p>
    <w:p w14:paraId="7F19C2D8" w14:textId="77777777" w:rsidR="00BD1DE0" w:rsidRDefault="00BD1DE0" w:rsidP="00BD1DE0">
      <w:pPr>
        <w:spacing w:line="280" w:lineRule="atLeast"/>
        <w:ind w:left="340"/>
        <w:jc w:val="both"/>
        <w:rPr>
          <w:rFonts w:cs="Arial"/>
          <w:b/>
          <w:szCs w:val="20"/>
        </w:rPr>
      </w:pPr>
    </w:p>
    <w:p w14:paraId="1A54C69E" w14:textId="77777777" w:rsidR="009A41E7" w:rsidRDefault="009A41E7" w:rsidP="009A41E7">
      <w:pPr>
        <w:spacing w:line="280" w:lineRule="atLeast"/>
        <w:jc w:val="center"/>
        <w:rPr>
          <w:rFonts w:cs="Arial"/>
          <w:b/>
          <w:szCs w:val="20"/>
        </w:rPr>
      </w:pPr>
      <w:r>
        <w:rPr>
          <w:rFonts w:cs="Arial"/>
          <w:b/>
          <w:szCs w:val="20"/>
        </w:rPr>
        <w:t>XII. Dodržování pravidel BOZP a dalších</w:t>
      </w:r>
    </w:p>
    <w:p w14:paraId="41544F79" w14:textId="77777777" w:rsidR="009A41E7" w:rsidRDefault="009A41E7" w:rsidP="009A41E7">
      <w:pPr>
        <w:spacing w:line="280" w:lineRule="atLeast"/>
        <w:rPr>
          <w:rFonts w:cs="Arial"/>
          <w:b/>
          <w:szCs w:val="20"/>
        </w:rPr>
      </w:pPr>
    </w:p>
    <w:p w14:paraId="5A79B803" w14:textId="77777777" w:rsidR="009A41E7" w:rsidRPr="00C54880" w:rsidRDefault="009A41E7" w:rsidP="00491D84">
      <w:pPr>
        <w:pStyle w:val="Odstavecseseznamem"/>
        <w:numPr>
          <w:ilvl w:val="0"/>
          <w:numId w:val="33"/>
        </w:numPr>
        <w:spacing w:after="120" w:line="276" w:lineRule="auto"/>
        <w:ind w:left="426" w:hanging="426"/>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0A9529E1"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1774479A"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62EB8E86" w14:textId="5C34E97C"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s nařízením vlády 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01C791A3" w14:textId="788327C6"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602ABD5B"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62AF2D2B" w14:textId="21844B3F" w:rsidR="009A41E7" w:rsidRDefault="009A41E7" w:rsidP="009A41E7">
      <w:pPr>
        <w:pStyle w:val="Odstavecseseznamem"/>
        <w:numPr>
          <w:ilvl w:val="0"/>
          <w:numId w:val="33"/>
        </w:numPr>
        <w:spacing w:line="276" w:lineRule="auto"/>
        <w:ind w:left="426" w:hanging="426"/>
        <w:rPr>
          <w:rFonts w:cs="Arial"/>
          <w:szCs w:val="20"/>
        </w:rPr>
      </w:pPr>
      <w:r>
        <w:rPr>
          <w:rFonts w:cs="Arial"/>
          <w:szCs w:val="20"/>
        </w:rPr>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životního prostředí (dále jen „</w:t>
      </w:r>
      <w:r w:rsidRPr="00C54880">
        <w:rPr>
          <w:rFonts w:cs="Arial"/>
          <w:b/>
          <w:szCs w:val="20"/>
        </w:rPr>
        <w:t>EMS</w:t>
      </w:r>
      <w:r w:rsidRPr="00C54880">
        <w:rPr>
          <w:rFonts w:cs="Arial"/>
          <w:szCs w:val="20"/>
        </w:rPr>
        <w:t>“).</w:t>
      </w:r>
    </w:p>
    <w:p w14:paraId="7564A4AF" w14:textId="77777777" w:rsidR="009A41E7" w:rsidRDefault="009A41E7" w:rsidP="009A41E7">
      <w:pPr>
        <w:pStyle w:val="Odstavecseseznamem"/>
        <w:spacing w:line="276" w:lineRule="auto"/>
        <w:ind w:left="426"/>
        <w:rPr>
          <w:rFonts w:cs="Arial"/>
          <w:szCs w:val="20"/>
        </w:rPr>
      </w:pPr>
    </w:p>
    <w:p w14:paraId="310EB427" w14:textId="75A780DD" w:rsidR="009A41E7" w:rsidRPr="00C54880" w:rsidRDefault="009A41E7" w:rsidP="009A41E7">
      <w:pPr>
        <w:pStyle w:val="Odstavecseseznamem"/>
        <w:numPr>
          <w:ilvl w:val="0"/>
          <w:numId w:val="33"/>
        </w:numPr>
        <w:spacing w:line="276" w:lineRule="auto"/>
        <w:ind w:left="426" w:hanging="426"/>
        <w:rPr>
          <w:bCs/>
        </w:rPr>
      </w:pPr>
      <w:r>
        <w:rPr>
          <w:rFonts w:cs="Arial"/>
          <w:szCs w:val="20"/>
        </w:rPr>
        <w:t>Prodávající se</w:t>
      </w:r>
      <w:bookmarkStart w:id="6" w:name="_Ref437350467"/>
      <w:r>
        <w:rPr>
          <w:rFonts w:ascii="Calibri" w:hAnsi="Calibri"/>
          <w:bCs/>
          <w:sz w:val="22"/>
        </w:rPr>
        <w:t xml:space="preserve"> v s</w:t>
      </w:r>
      <w:r w:rsidRPr="00EA5C94">
        <w:rPr>
          <w:bCs/>
        </w:rPr>
        <w:t xml:space="preserve">ouvislosti s poskytováním plnění dle této </w:t>
      </w:r>
      <w:r>
        <w:rPr>
          <w:bCs/>
        </w:rPr>
        <w:t>s</w:t>
      </w:r>
      <w:r w:rsidRPr="00EA5C94">
        <w:rPr>
          <w:bCs/>
        </w:rPr>
        <w:t>mlouvy zavazuje postupovat v souladu s</w:t>
      </w:r>
      <w:r w:rsidR="005E5188">
        <w:rPr>
          <w:bCs/>
        </w:rPr>
        <w:t> </w:t>
      </w:r>
      <w:r>
        <w:rPr>
          <w:bCs/>
        </w:rPr>
        <w:t>následujícími</w:t>
      </w:r>
      <w:r w:rsidR="005E5188">
        <w:rPr>
          <w:bCs/>
        </w:rPr>
        <w:t xml:space="preserve"> aktuálně</w:t>
      </w:r>
      <w:r>
        <w:rPr>
          <w:bCs/>
        </w:rPr>
        <w:t xml:space="preserve"> </w:t>
      </w:r>
      <w:r w:rsidR="005E5188">
        <w:rPr>
          <w:bCs/>
        </w:rPr>
        <w:t xml:space="preserve">platnými </w:t>
      </w:r>
      <w:r>
        <w:rPr>
          <w:bCs/>
        </w:rPr>
        <w:t>interními dokumenty kupujícího</w:t>
      </w:r>
      <w:r w:rsidRPr="00EA5C94">
        <w:rPr>
          <w:bCs/>
        </w:rPr>
        <w:t>:</w:t>
      </w:r>
      <w:bookmarkEnd w:id="6"/>
    </w:p>
    <w:p w14:paraId="1C220946" w14:textId="77777777" w:rsidR="009A41E7" w:rsidRDefault="009A41E7" w:rsidP="009A41E7">
      <w:pPr>
        <w:pStyle w:val="Odstavecseseznamem"/>
        <w:spacing w:line="276" w:lineRule="auto"/>
        <w:ind w:left="426"/>
        <w:rPr>
          <w:rFonts w:cs="Arial"/>
          <w:szCs w:val="20"/>
        </w:rPr>
      </w:pPr>
    </w:p>
    <w:p w14:paraId="60CA7262" w14:textId="7CCC1243" w:rsidR="009A41E7" w:rsidRPr="00C4146D" w:rsidRDefault="009A41E7" w:rsidP="009A41E7">
      <w:pPr>
        <w:pStyle w:val="RLTextlnkuslovan0"/>
        <w:numPr>
          <w:ilvl w:val="2"/>
          <w:numId w:val="34"/>
        </w:numPr>
        <w:ind w:left="1134" w:hanging="283"/>
        <w:rPr>
          <w:rFonts w:ascii="Arial" w:hAnsi="Arial" w:cs="Arial"/>
          <w:bCs/>
          <w:sz w:val="20"/>
          <w:szCs w:val="20"/>
        </w:rPr>
      </w:pPr>
      <w:r w:rsidRPr="00C4146D">
        <w:rPr>
          <w:rFonts w:ascii="Arial" w:hAnsi="Arial" w:cs="Arial"/>
          <w:bCs/>
          <w:sz w:val="20"/>
          <w:szCs w:val="20"/>
        </w:rPr>
        <w:t>Dokumentace k zajištění BOZP</w:t>
      </w:r>
      <w:r w:rsidR="005E5188">
        <w:rPr>
          <w:rFonts w:ascii="Arial" w:hAnsi="Arial" w:cs="Arial"/>
          <w:bCs/>
          <w:sz w:val="20"/>
          <w:szCs w:val="20"/>
        </w:rPr>
        <w:t xml:space="preserve"> (</w:t>
      </w:r>
      <w:r w:rsidR="005E5188" w:rsidRPr="005E5188">
        <w:rPr>
          <w:rFonts w:ascii="Arial" w:hAnsi="Arial" w:cs="Arial"/>
          <w:bCs/>
          <w:sz w:val="20"/>
          <w:szCs w:val="20"/>
          <w:u w:val="single"/>
        </w:rPr>
        <w:t>Příloha 7</w:t>
      </w:r>
      <w:r w:rsidR="005E5188" w:rsidRPr="005E5188">
        <w:rPr>
          <w:rFonts w:ascii="Arial" w:hAnsi="Arial" w:cs="Arial"/>
          <w:bCs/>
          <w:sz w:val="20"/>
          <w:szCs w:val="20"/>
        </w:rPr>
        <w:t xml:space="preserve"> smlouvy</w:t>
      </w:r>
      <w:r w:rsidR="005E5188">
        <w:rPr>
          <w:rFonts w:ascii="Arial" w:hAnsi="Arial" w:cs="Arial"/>
          <w:bCs/>
          <w:sz w:val="20"/>
          <w:szCs w:val="20"/>
        </w:rPr>
        <w:t>)</w:t>
      </w:r>
      <w:r w:rsidRPr="00C4146D">
        <w:rPr>
          <w:rFonts w:ascii="Arial" w:hAnsi="Arial" w:cs="Arial"/>
          <w:bCs/>
          <w:sz w:val="20"/>
          <w:szCs w:val="20"/>
        </w:rPr>
        <w:t xml:space="preserve"> </w:t>
      </w:r>
    </w:p>
    <w:p w14:paraId="5192FD08" w14:textId="4D4533C0" w:rsidR="009A41E7" w:rsidRPr="00654F1D" w:rsidRDefault="009A41E7" w:rsidP="009A41E7">
      <w:pPr>
        <w:pStyle w:val="RLTextlnkuslovan0"/>
        <w:numPr>
          <w:ilvl w:val="2"/>
          <w:numId w:val="34"/>
        </w:numPr>
        <w:ind w:left="1134" w:hanging="283"/>
        <w:rPr>
          <w:rFonts w:ascii="Arial" w:hAnsi="Arial" w:cs="Arial"/>
          <w:sz w:val="20"/>
          <w:szCs w:val="20"/>
        </w:rPr>
      </w:pPr>
      <w:bookmarkStart w:id="7" w:name="_Ref434358706"/>
      <w:r w:rsidRPr="00C4146D">
        <w:rPr>
          <w:rFonts w:ascii="Arial" w:hAnsi="Arial" w:cs="Arial"/>
          <w:sz w:val="20"/>
          <w:szCs w:val="20"/>
        </w:rPr>
        <w:t xml:space="preserve">Všeobecné a technické podmínky provádění staveb VN, NN pro E.ON </w:t>
      </w:r>
      <w:bookmarkEnd w:id="7"/>
      <w:r w:rsidRPr="00C4146D">
        <w:rPr>
          <w:rFonts w:ascii="Arial" w:hAnsi="Arial" w:cs="Arial"/>
          <w:sz w:val="20"/>
          <w:szCs w:val="20"/>
        </w:rPr>
        <w:t>Czech</w:t>
      </w:r>
      <w:r w:rsidR="005E5188">
        <w:rPr>
          <w:rFonts w:ascii="Arial" w:hAnsi="Arial" w:cs="Arial"/>
          <w:sz w:val="20"/>
          <w:szCs w:val="20"/>
        </w:rPr>
        <w:t xml:space="preserve"> (</w:t>
      </w:r>
      <w:r w:rsidR="005E5188" w:rsidRPr="005E5188">
        <w:rPr>
          <w:rFonts w:ascii="Arial" w:hAnsi="Arial" w:cs="Arial"/>
          <w:sz w:val="20"/>
          <w:szCs w:val="20"/>
          <w:u w:val="single"/>
        </w:rPr>
        <w:t>Příloha 8</w:t>
      </w:r>
      <w:r w:rsidR="005E5188">
        <w:rPr>
          <w:rFonts w:ascii="Arial" w:hAnsi="Arial" w:cs="Arial"/>
          <w:sz w:val="20"/>
          <w:szCs w:val="20"/>
        </w:rPr>
        <w:t xml:space="preserve"> smlouvy)</w:t>
      </w:r>
      <w:r w:rsidR="00491D84">
        <w:rPr>
          <w:rFonts w:ascii="Arial" w:hAnsi="Arial" w:cs="Arial"/>
          <w:sz w:val="20"/>
          <w:szCs w:val="20"/>
        </w:rPr>
        <w:t>.</w:t>
      </w:r>
    </w:p>
    <w:p w14:paraId="0F01F72C" w14:textId="5993E848" w:rsidR="009A41E7" w:rsidRDefault="00231A40" w:rsidP="00BD1DE0">
      <w:pPr>
        <w:spacing w:line="280" w:lineRule="atLeast"/>
        <w:ind w:left="340"/>
        <w:jc w:val="both"/>
        <w:rPr>
          <w:rFonts w:cs="Arial"/>
          <w:szCs w:val="20"/>
        </w:rPr>
      </w:pPr>
      <w:r>
        <w:rPr>
          <w:rFonts w:cs="Arial"/>
          <w:szCs w:val="20"/>
        </w:rPr>
        <w:t>P</w:t>
      </w:r>
      <w:r w:rsidR="00F14562">
        <w:rPr>
          <w:rFonts w:cs="Arial"/>
          <w:szCs w:val="20"/>
        </w:rPr>
        <w:t>rodávající prohlašuje, že</w:t>
      </w:r>
      <w:r>
        <w:rPr>
          <w:rFonts w:cs="Arial"/>
          <w:szCs w:val="20"/>
        </w:rPr>
        <w:t xml:space="preserve"> tyto dokumenty obdržel,</w:t>
      </w:r>
      <w:r w:rsidR="00F14562">
        <w:rPr>
          <w:rFonts w:cs="Arial"/>
          <w:szCs w:val="20"/>
        </w:rPr>
        <w:t xml:space="preserve"> </w:t>
      </w:r>
      <w:r>
        <w:rPr>
          <w:rFonts w:cs="Arial"/>
          <w:szCs w:val="20"/>
        </w:rPr>
        <w:t>seznámil se a souhlasí s nimi</w:t>
      </w:r>
      <w:r w:rsidR="00F14562">
        <w:rPr>
          <w:rFonts w:cs="Arial"/>
          <w:szCs w:val="20"/>
        </w:rPr>
        <w:t xml:space="preserve"> a bude se jimi plně řídit</w:t>
      </w:r>
      <w:r w:rsidR="004171EA">
        <w:rPr>
          <w:rFonts w:cs="Arial"/>
          <w:szCs w:val="20"/>
        </w:rPr>
        <w:t xml:space="preserve">. </w:t>
      </w:r>
      <w:r>
        <w:rPr>
          <w:rFonts w:cs="Arial"/>
          <w:szCs w:val="20"/>
        </w:rPr>
        <w:t xml:space="preserve">Oba dokumenty jsou v platné podobě dostupné na </w:t>
      </w:r>
      <w:hyperlink r:id="rId18" w:history="1">
        <w:r w:rsidRPr="00251643">
          <w:rPr>
            <w:rStyle w:val="Hypertextovodkaz"/>
            <w:rFonts w:cs="Arial"/>
            <w:szCs w:val="20"/>
          </w:rPr>
          <w:t>https://www.eon-distribuce.cz/vseobecne-nakupni-podminky</w:t>
        </w:r>
      </w:hyperlink>
      <w:r>
        <w:rPr>
          <w:rFonts w:cs="Arial"/>
          <w:szCs w:val="20"/>
        </w:rPr>
        <w:t>.</w:t>
      </w:r>
    </w:p>
    <w:p w14:paraId="68BB9576" w14:textId="77777777" w:rsidR="004171EA" w:rsidRPr="00491D84" w:rsidRDefault="004171EA" w:rsidP="00BD1DE0">
      <w:pPr>
        <w:spacing w:line="280" w:lineRule="atLeast"/>
        <w:ind w:left="340"/>
        <w:jc w:val="both"/>
        <w:rPr>
          <w:rFonts w:cs="Arial"/>
          <w:szCs w:val="20"/>
        </w:rPr>
      </w:pPr>
    </w:p>
    <w:bookmarkEnd w:id="5"/>
    <w:p w14:paraId="59740F9A" w14:textId="77777777"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225547">
        <w:rPr>
          <w:rFonts w:cs="Arial"/>
          <w:b/>
          <w:szCs w:val="20"/>
        </w:rPr>
        <w:t>I</w:t>
      </w:r>
      <w:r w:rsidR="00AB4DDE">
        <w:rPr>
          <w:rFonts w:cs="Arial"/>
          <w:b/>
          <w:szCs w:val="20"/>
        </w:rPr>
        <w:t>I</w:t>
      </w:r>
      <w:r>
        <w:rPr>
          <w:rFonts w:cs="Arial"/>
          <w:b/>
          <w:szCs w:val="20"/>
        </w:rPr>
        <w:t>.</w:t>
      </w:r>
    </w:p>
    <w:p w14:paraId="54875EC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684B342E" w14:textId="77777777" w:rsidR="00327D7B" w:rsidRPr="00DA2C52" w:rsidRDefault="00327D7B" w:rsidP="00060B31">
      <w:pPr>
        <w:spacing w:line="280" w:lineRule="atLeast"/>
        <w:jc w:val="both"/>
        <w:rPr>
          <w:rFonts w:cs="Arial"/>
          <w:b/>
          <w:szCs w:val="20"/>
        </w:rPr>
      </w:pPr>
    </w:p>
    <w:p w14:paraId="281DC4A5" w14:textId="69001162" w:rsidR="00BD1DE0" w:rsidRPr="00594509" w:rsidRDefault="00BD1DE0" w:rsidP="00594509">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9" w:history="1">
        <w:r w:rsidR="00E750A8" w:rsidRPr="00946361">
          <w:rPr>
            <w:rStyle w:val="Hypertextovodkaz"/>
          </w:rPr>
          <w:t>https://www.eon-distribuce.cz/vseobecne-nakupni-podminky</w:t>
        </w:r>
      </w:hyperlink>
      <w:r w:rsidR="00F54F28">
        <w:rPr>
          <w:rStyle w:val="Hypertextovodkaz"/>
        </w:rPr>
        <w:t>.</w:t>
      </w:r>
      <w:r w:rsidR="00594509">
        <w:rPr>
          <w:rFonts w:cs="Arial"/>
          <w:szCs w:val="20"/>
        </w:rPr>
        <w:t xml:space="preserve"> </w:t>
      </w:r>
      <w:hyperlink w:history="1"/>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190DB20E" w14:textId="77777777"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 xml:space="preserve">V případě rozporu mezi ustanoveními této kupní smlouvy a výše zmíněných obchodních podmínek mají přednost ustanovení uvedená v této smlouvě. V případě rozporu doložky INCOTERMS 2010, na kterou odkazuje tato smlouva a obchodních podmínek, má přednost tato doložka INCOTERMS 2010. </w:t>
      </w:r>
    </w:p>
    <w:p w14:paraId="3D747AD5" w14:textId="77777777"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8991C9D" w14:textId="77777777"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EB87B4" w14:textId="6BD78F1E"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3AC1E7F9" w14:textId="77777777"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BECFE4B" w14:textId="77777777"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0DE45DFD" w14:textId="77777777"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0CF6651E" w14:textId="77777777"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391D7D5" w14:textId="7E512411"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D11FF76" w14:textId="77777777"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6682401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DE16D53"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 a § 1800.</w:t>
      </w:r>
    </w:p>
    <w:p w14:paraId="3C2BE11E"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A681F2D"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0780F50A" w14:textId="77777777"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7945457D" w14:textId="77777777" w:rsidR="00BD1DE0" w:rsidRPr="00DA2C52"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7187C9D6" w14:textId="77777777" w:rsidR="00BD1DE0" w:rsidRPr="00DA2C52" w:rsidRDefault="00BD1DE0" w:rsidP="00BD1DE0">
      <w:pPr>
        <w:spacing w:line="280" w:lineRule="atLeast"/>
        <w:jc w:val="both"/>
        <w:rPr>
          <w:rFonts w:cs="Arial"/>
          <w:szCs w:val="20"/>
        </w:rPr>
      </w:pPr>
    </w:p>
    <w:p w14:paraId="015719A5"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057F8F02"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099DFED2"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0D457B04"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4BAF614E" w14:textId="72DF27B6" w:rsidR="00FC338B" w:rsidRDefault="00FC338B"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F54F28">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Servisní smlouva</w:t>
      </w:r>
      <w:r w:rsidR="005E5188">
        <w:rPr>
          <w:rFonts w:eastAsia="Calibri" w:cs="Arial"/>
          <w:szCs w:val="20"/>
          <w:lang w:eastAsia="en-US"/>
        </w:rPr>
        <w:t>;</w:t>
      </w:r>
    </w:p>
    <w:p w14:paraId="7E9F8788" w14:textId="77777777" w:rsidR="005E5188" w:rsidRDefault="00BD4491" w:rsidP="004A204B">
      <w:pPr>
        <w:spacing w:line="280" w:lineRule="atLeast"/>
        <w:ind w:left="360"/>
        <w:jc w:val="both"/>
        <w:rPr>
          <w:rFonts w:eastAsia="Calibri" w:cs="Arial"/>
          <w:szCs w:val="20"/>
          <w:lang w:eastAsia="en-US"/>
        </w:rPr>
      </w:pPr>
      <w:r>
        <w:rPr>
          <w:rFonts w:eastAsia="Calibri" w:cs="Arial"/>
          <w:szCs w:val="20"/>
          <w:u w:val="single"/>
          <w:lang w:eastAsia="en-US"/>
        </w:rPr>
        <w:lastRenderedPageBreak/>
        <w:t xml:space="preserve">Příloha 6 </w:t>
      </w:r>
      <w:r>
        <w:rPr>
          <w:rFonts w:eastAsia="Calibri" w:cs="Arial"/>
          <w:szCs w:val="20"/>
          <w:lang w:eastAsia="en-US"/>
        </w:rPr>
        <w:t>– Seznam techniků prodávajícího</w:t>
      </w:r>
      <w:r w:rsidR="005E5188">
        <w:rPr>
          <w:rFonts w:eastAsia="Calibri" w:cs="Arial"/>
          <w:szCs w:val="20"/>
          <w:lang w:eastAsia="en-US"/>
        </w:rPr>
        <w:t>;</w:t>
      </w:r>
    </w:p>
    <w:p w14:paraId="15E48F3F" w14:textId="77777777" w:rsidR="005E5188"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Dokumentace k zajištění BOZP;</w:t>
      </w:r>
    </w:p>
    <w:p w14:paraId="2A566A0D" w14:textId="3E736433" w:rsidR="00BD4491" w:rsidRPr="006853EC"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8 </w:t>
      </w:r>
      <w:r>
        <w:rPr>
          <w:rFonts w:eastAsia="Calibri" w:cs="Arial"/>
          <w:szCs w:val="20"/>
          <w:lang w:eastAsia="en-US"/>
        </w:rPr>
        <w:t>– Všeobecné a technické podmínky provádění staveb VN, NN pro E.ON Czech</w:t>
      </w:r>
      <w:r w:rsidR="00BD4491">
        <w:rPr>
          <w:rFonts w:eastAsia="Calibri" w:cs="Arial"/>
          <w:szCs w:val="20"/>
          <w:lang w:eastAsia="en-US"/>
        </w:rPr>
        <w:t>.</w:t>
      </w:r>
    </w:p>
    <w:p w14:paraId="5D0943AF" w14:textId="77777777" w:rsidR="00BD1DE0" w:rsidRDefault="00BD1DE0" w:rsidP="00BD1DE0">
      <w:pPr>
        <w:spacing w:line="280" w:lineRule="atLeast"/>
        <w:ind w:left="360"/>
        <w:jc w:val="both"/>
        <w:rPr>
          <w:rFonts w:eastAsia="Calibri" w:cs="Arial"/>
          <w:szCs w:val="20"/>
          <w:lang w:eastAsia="en-US"/>
        </w:rPr>
      </w:pPr>
    </w:p>
    <w:p w14:paraId="47767188"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25EE49E5" w14:textId="77777777" w:rsidR="00BD1DE0" w:rsidRPr="00DA2C52" w:rsidRDefault="00BD1DE0" w:rsidP="00BD1DE0">
      <w:pPr>
        <w:spacing w:line="280" w:lineRule="atLeast"/>
        <w:jc w:val="both"/>
        <w:rPr>
          <w:rFonts w:cs="Arial"/>
          <w:szCs w:val="20"/>
        </w:rPr>
      </w:pPr>
    </w:p>
    <w:p w14:paraId="4195A7B7"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F54F2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254FE2EF" w14:textId="77777777" w:rsidR="00BD1DE0" w:rsidRPr="00DA2C52" w:rsidRDefault="00BD1DE0" w:rsidP="00BD1DE0">
      <w:pPr>
        <w:spacing w:line="280" w:lineRule="atLeast"/>
        <w:jc w:val="both"/>
        <w:rPr>
          <w:rFonts w:cs="Arial"/>
          <w:szCs w:val="20"/>
        </w:rPr>
      </w:pPr>
    </w:p>
    <w:p w14:paraId="04C1C14C" w14:textId="77777777" w:rsidR="00BD1DE0" w:rsidRPr="00DA2C52" w:rsidRDefault="00BD1DE0" w:rsidP="00BD1DE0">
      <w:pPr>
        <w:spacing w:line="280" w:lineRule="atLeast"/>
        <w:jc w:val="both"/>
        <w:rPr>
          <w:rFonts w:cs="Arial"/>
          <w:szCs w:val="20"/>
        </w:rPr>
      </w:pPr>
    </w:p>
    <w:p w14:paraId="18212541"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4A9EDB45" w14:textId="77777777" w:rsidR="00BD1DE0" w:rsidRPr="00DA2C52" w:rsidRDefault="00BD1DE0" w:rsidP="00BD1DE0">
      <w:pPr>
        <w:spacing w:line="280" w:lineRule="atLeast"/>
        <w:jc w:val="both"/>
        <w:rPr>
          <w:rFonts w:cs="Arial"/>
          <w:szCs w:val="20"/>
        </w:rPr>
      </w:pPr>
    </w:p>
    <w:p w14:paraId="4B4EC9CC" w14:textId="77777777" w:rsidR="00BD1DE0" w:rsidRPr="00DA2C52" w:rsidRDefault="00BD1DE0" w:rsidP="00BD1DE0">
      <w:pPr>
        <w:spacing w:line="280" w:lineRule="atLeast"/>
        <w:jc w:val="both"/>
        <w:rPr>
          <w:rFonts w:cs="Arial"/>
          <w:szCs w:val="20"/>
        </w:rPr>
      </w:pPr>
    </w:p>
    <w:p w14:paraId="28A067E2"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CBE1B99"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143595E6"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66C45FCF" w14:textId="77777777" w:rsidR="00BD1DE0" w:rsidRDefault="00BD1DE0" w:rsidP="00BD1DE0">
      <w:pPr>
        <w:spacing w:line="280" w:lineRule="atLeast"/>
        <w:rPr>
          <w:rFonts w:cs="Arial"/>
          <w:szCs w:val="20"/>
        </w:rPr>
      </w:pPr>
    </w:p>
    <w:p w14:paraId="169C7E70"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0CAB5A4B"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následně dopln</w:t>
      </w:r>
      <w:r w:rsidRPr="00D81E38">
        <w:rPr>
          <w:rFonts w:cs="Arial"/>
          <w:b/>
          <w:szCs w:val="20"/>
          <w:highlight w:val="yellow"/>
        </w:rPr>
        <w:t>í zadavatel</w:t>
      </w:r>
    </w:p>
    <w:sectPr w:rsidR="00B87D63" w:rsidRPr="007E5D7D" w:rsidSect="00E35026">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D99945" w14:textId="77777777" w:rsidR="0013695D" w:rsidRDefault="0013695D" w:rsidP="00E25C9A">
      <w:r>
        <w:separator/>
      </w:r>
    </w:p>
  </w:endnote>
  <w:endnote w:type="continuationSeparator" w:id="0">
    <w:p w14:paraId="4E66CEF4" w14:textId="77777777" w:rsidR="0013695D" w:rsidRDefault="0013695D" w:rsidP="00E25C9A">
      <w:r>
        <w:continuationSeparator/>
      </w:r>
    </w:p>
  </w:endnote>
  <w:endnote w:type="continuationNotice" w:id="1">
    <w:p w14:paraId="7B59E0CC" w14:textId="77777777" w:rsidR="0013695D" w:rsidRDefault="00136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3151B" w14:textId="77777777"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A1870">
      <w:rPr>
        <w:rStyle w:val="slostrnky"/>
        <w:noProof/>
        <w:sz w:val="18"/>
        <w:szCs w:val="20"/>
      </w:rPr>
      <w:t>19</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A1870">
      <w:rPr>
        <w:rStyle w:val="slostrnky"/>
        <w:noProof/>
        <w:sz w:val="18"/>
        <w:szCs w:val="20"/>
      </w:rPr>
      <w:t>19</w:t>
    </w:r>
    <w:r w:rsidRPr="00F33418">
      <w:rPr>
        <w:rStyle w:val="slostrnky"/>
        <w:sz w:val="18"/>
        <w:szCs w:val="20"/>
      </w:rPr>
      <w:fldChar w:fldCharType="end"/>
    </w:r>
  </w:p>
  <w:p w14:paraId="512D635B"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18AFE" w14:textId="77777777" w:rsidR="0013695D" w:rsidRDefault="0013695D" w:rsidP="00E25C9A">
      <w:r>
        <w:separator/>
      </w:r>
    </w:p>
  </w:footnote>
  <w:footnote w:type="continuationSeparator" w:id="0">
    <w:p w14:paraId="240A78F2" w14:textId="77777777" w:rsidR="0013695D" w:rsidRDefault="0013695D" w:rsidP="00E25C9A">
      <w:r>
        <w:continuationSeparator/>
      </w:r>
    </w:p>
  </w:footnote>
  <w:footnote w:type="continuationNotice" w:id="1">
    <w:p w14:paraId="54BAE350" w14:textId="77777777" w:rsidR="0013695D" w:rsidRDefault="001369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2078D" w14:textId="77777777"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34289606" w14:textId="77777777"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141029F1"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4"/>
  </w:num>
  <w:num w:numId="2">
    <w:abstractNumId w:val="16"/>
  </w:num>
  <w:num w:numId="3">
    <w:abstractNumId w:val="12"/>
  </w:num>
  <w:num w:numId="4">
    <w:abstractNumId w:val="27"/>
  </w:num>
  <w:num w:numId="5">
    <w:abstractNumId w:val="7"/>
  </w:num>
  <w:num w:numId="6">
    <w:abstractNumId w:val="23"/>
  </w:num>
  <w:num w:numId="7">
    <w:abstractNumId w:val="33"/>
  </w:num>
  <w:num w:numId="8">
    <w:abstractNumId w:val="22"/>
  </w:num>
  <w:num w:numId="9">
    <w:abstractNumId w:val="13"/>
  </w:num>
  <w:num w:numId="10">
    <w:abstractNumId w:val="28"/>
  </w:num>
  <w:num w:numId="11">
    <w:abstractNumId w:val="30"/>
  </w:num>
  <w:num w:numId="12">
    <w:abstractNumId w:val="17"/>
  </w:num>
  <w:num w:numId="13">
    <w:abstractNumId w:val="5"/>
  </w:num>
  <w:num w:numId="14">
    <w:abstractNumId w:val="21"/>
  </w:num>
  <w:num w:numId="15">
    <w:abstractNumId w:val="34"/>
  </w:num>
  <w:num w:numId="16">
    <w:abstractNumId w:val="6"/>
  </w:num>
  <w:num w:numId="17">
    <w:abstractNumId w:val="26"/>
  </w:num>
  <w:num w:numId="18">
    <w:abstractNumId w:val="8"/>
  </w:num>
  <w:num w:numId="19">
    <w:abstractNumId w:val="32"/>
  </w:num>
  <w:num w:numId="20">
    <w:abstractNumId w:val="25"/>
  </w:num>
  <w:num w:numId="2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
  </w:num>
  <w:num w:numId="31">
    <w:abstractNumId w:val="15"/>
  </w:num>
  <w:num w:numId="32">
    <w:abstractNumId w:val="20"/>
  </w:num>
  <w:num w:numId="33">
    <w:abstractNumId w:val="31"/>
  </w:num>
  <w:num w:numId="34">
    <w:abstractNumId w:val="2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ichá, Petra">
    <w15:presenceInfo w15:providerId="AD" w15:userId="S-1-5-21-1829976490-38137488-3687828710-8331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4280"/>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BBC"/>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9C9"/>
    <w:rsid w:val="00114A95"/>
    <w:rsid w:val="00115169"/>
    <w:rsid w:val="0011612D"/>
    <w:rsid w:val="00116E7B"/>
    <w:rsid w:val="0012045D"/>
    <w:rsid w:val="00120F61"/>
    <w:rsid w:val="0012113D"/>
    <w:rsid w:val="00122604"/>
    <w:rsid w:val="00123548"/>
    <w:rsid w:val="0012452C"/>
    <w:rsid w:val="00124E5D"/>
    <w:rsid w:val="00125373"/>
    <w:rsid w:val="00125820"/>
    <w:rsid w:val="001317C1"/>
    <w:rsid w:val="00135319"/>
    <w:rsid w:val="00136246"/>
    <w:rsid w:val="0013695D"/>
    <w:rsid w:val="0014015D"/>
    <w:rsid w:val="0014045B"/>
    <w:rsid w:val="0014073B"/>
    <w:rsid w:val="001409D7"/>
    <w:rsid w:val="00142FF9"/>
    <w:rsid w:val="001458B1"/>
    <w:rsid w:val="00145F4C"/>
    <w:rsid w:val="001467AD"/>
    <w:rsid w:val="00150C5D"/>
    <w:rsid w:val="001520D1"/>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3D55"/>
    <w:rsid w:val="001A4496"/>
    <w:rsid w:val="001A48F5"/>
    <w:rsid w:val="001A5E6F"/>
    <w:rsid w:val="001A6276"/>
    <w:rsid w:val="001A6839"/>
    <w:rsid w:val="001A6ABF"/>
    <w:rsid w:val="001A6BCD"/>
    <w:rsid w:val="001B16BA"/>
    <w:rsid w:val="001B409C"/>
    <w:rsid w:val="001B4347"/>
    <w:rsid w:val="001B435B"/>
    <w:rsid w:val="001B47BB"/>
    <w:rsid w:val="001B5C87"/>
    <w:rsid w:val="001B6731"/>
    <w:rsid w:val="001B746D"/>
    <w:rsid w:val="001B747B"/>
    <w:rsid w:val="001C2540"/>
    <w:rsid w:val="001C40C1"/>
    <w:rsid w:val="001C43BC"/>
    <w:rsid w:val="001C626A"/>
    <w:rsid w:val="001C637C"/>
    <w:rsid w:val="001C66E7"/>
    <w:rsid w:val="001C679C"/>
    <w:rsid w:val="001C741A"/>
    <w:rsid w:val="001C793F"/>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1713"/>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353"/>
    <w:rsid w:val="002E765C"/>
    <w:rsid w:val="002F0642"/>
    <w:rsid w:val="002F1456"/>
    <w:rsid w:val="002F2BBB"/>
    <w:rsid w:val="002F43C2"/>
    <w:rsid w:val="002F6F4D"/>
    <w:rsid w:val="002F727F"/>
    <w:rsid w:val="00300102"/>
    <w:rsid w:val="003002C9"/>
    <w:rsid w:val="00307522"/>
    <w:rsid w:val="00310783"/>
    <w:rsid w:val="003115E3"/>
    <w:rsid w:val="00313CE0"/>
    <w:rsid w:val="00314928"/>
    <w:rsid w:val="00315DC2"/>
    <w:rsid w:val="0031676D"/>
    <w:rsid w:val="003174A8"/>
    <w:rsid w:val="00317A3F"/>
    <w:rsid w:val="00317E3D"/>
    <w:rsid w:val="00320AA0"/>
    <w:rsid w:val="00321EBD"/>
    <w:rsid w:val="003223EA"/>
    <w:rsid w:val="003234C6"/>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4733"/>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860"/>
    <w:rsid w:val="00394829"/>
    <w:rsid w:val="0039490E"/>
    <w:rsid w:val="00396077"/>
    <w:rsid w:val="00396578"/>
    <w:rsid w:val="0039676D"/>
    <w:rsid w:val="003972CD"/>
    <w:rsid w:val="003A0273"/>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4849"/>
    <w:rsid w:val="003C562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54F6"/>
    <w:rsid w:val="003E62DA"/>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1EA"/>
    <w:rsid w:val="00417627"/>
    <w:rsid w:val="0042080F"/>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2424"/>
    <w:rsid w:val="0045415D"/>
    <w:rsid w:val="00454475"/>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16F"/>
    <w:rsid w:val="0048544A"/>
    <w:rsid w:val="00487BFB"/>
    <w:rsid w:val="004901BA"/>
    <w:rsid w:val="00491D84"/>
    <w:rsid w:val="00491E7A"/>
    <w:rsid w:val="0049281E"/>
    <w:rsid w:val="0049296F"/>
    <w:rsid w:val="00494205"/>
    <w:rsid w:val="004953D9"/>
    <w:rsid w:val="00495F73"/>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1254"/>
    <w:rsid w:val="00592ABC"/>
    <w:rsid w:val="00592DF1"/>
    <w:rsid w:val="00594509"/>
    <w:rsid w:val="00594CA8"/>
    <w:rsid w:val="00595934"/>
    <w:rsid w:val="00596FE1"/>
    <w:rsid w:val="00597B60"/>
    <w:rsid w:val="005A016A"/>
    <w:rsid w:val="005A0947"/>
    <w:rsid w:val="005A15C5"/>
    <w:rsid w:val="005A4FE2"/>
    <w:rsid w:val="005A584D"/>
    <w:rsid w:val="005B1F96"/>
    <w:rsid w:val="005B2B4D"/>
    <w:rsid w:val="005B2BAC"/>
    <w:rsid w:val="005B3F19"/>
    <w:rsid w:val="005B452A"/>
    <w:rsid w:val="005B5793"/>
    <w:rsid w:val="005B74EB"/>
    <w:rsid w:val="005C0435"/>
    <w:rsid w:val="005C0719"/>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75F9"/>
    <w:rsid w:val="005E006E"/>
    <w:rsid w:val="005E176F"/>
    <w:rsid w:val="005E287F"/>
    <w:rsid w:val="005E31F8"/>
    <w:rsid w:val="005E4A1C"/>
    <w:rsid w:val="005E4EAC"/>
    <w:rsid w:val="005E5188"/>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6F"/>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667"/>
    <w:rsid w:val="006B472B"/>
    <w:rsid w:val="006B5A9B"/>
    <w:rsid w:val="006B68D6"/>
    <w:rsid w:val="006B7270"/>
    <w:rsid w:val="006B7568"/>
    <w:rsid w:val="006B7FD1"/>
    <w:rsid w:val="006C07C7"/>
    <w:rsid w:val="006C0AB8"/>
    <w:rsid w:val="006C16FF"/>
    <w:rsid w:val="006C3A73"/>
    <w:rsid w:val="006C496E"/>
    <w:rsid w:val="006C4C4E"/>
    <w:rsid w:val="006C5B9D"/>
    <w:rsid w:val="006C6442"/>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589D"/>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6F51"/>
    <w:rsid w:val="00767A15"/>
    <w:rsid w:val="00767EAE"/>
    <w:rsid w:val="00770512"/>
    <w:rsid w:val="00770BBC"/>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31EC"/>
    <w:rsid w:val="0079492E"/>
    <w:rsid w:val="00795C01"/>
    <w:rsid w:val="007962E1"/>
    <w:rsid w:val="007A12A6"/>
    <w:rsid w:val="007A14EC"/>
    <w:rsid w:val="007A1870"/>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A6B"/>
    <w:rsid w:val="007D5613"/>
    <w:rsid w:val="007D5888"/>
    <w:rsid w:val="007D61A1"/>
    <w:rsid w:val="007E01E5"/>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A4"/>
    <w:rsid w:val="00920B9C"/>
    <w:rsid w:val="00921A66"/>
    <w:rsid w:val="00922CAD"/>
    <w:rsid w:val="009233F4"/>
    <w:rsid w:val="00924A59"/>
    <w:rsid w:val="009255E2"/>
    <w:rsid w:val="00925803"/>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69E"/>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1E7"/>
    <w:rsid w:val="009A435E"/>
    <w:rsid w:val="009A6E4B"/>
    <w:rsid w:val="009A752E"/>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264"/>
    <w:rsid w:val="00A03764"/>
    <w:rsid w:val="00A03EB6"/>
    <w:rsid w:val="00A0478A"/>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2E8"/>
    <w:rsid w:val="00A31C56"/>
    <w:rsid w:val="00A32604"/>
    <w:rsid w:val="00A32825"/>
    <w:rsid w:val="00A33A23"/>
    <w:rsid w:val="00A34F56"/>
    <w:rsid w:val="00A36442"/>
    <w:rsid w:val="00A375C5"/>
    <w:rsid w:val="00A3776D"/>
    <w:rsid w:val="00A4269A"/>
    <w:rsid w:val="00A4299D"/>
    <w:rsid w:val="00A442EF"/>
    <w:rsid w:val="00A44C04"/>
    <w:rsid w:val="00A44C44"/>
    <w:rsid w:val="00A47A52"/>
    <w:rsid w:val="00A50754"/>
    <w:rsid w:val="00A514D4"/>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4E33"/>
    <w:rsid w:val="00A86B62"/>
    <w:rsid w:val="00A87A9E"/>
    <w:rsid w:val="00A94AB6"/>
    <w:rsid w:val="00A96C71"/>
    <w:rsid w:val="00A96D78"/>
    <w:rsid w:val="00AA1F0C"/>
    <w:rsid w:val="00AA2BA0"/>
    <w:rsid w:val="00AA4B22"/>
    <w:rsid w:val="00AA70ED"/>
    <w:rsid w:val="00AA7375"/>
    <w:rsid w:val="00AB04E2"/>
    <w:rsid w:val="00AB0D99"/>
    <w:rsid w:val="00AB34F1"/>
    <w:rsid w:val="00AB4966"/>
    <w:rsid w:val="00AB4DDE"/>
    <w:rsid w:val="00AB5479"/>
    <w:rsid w:val="00AB5E70"/>
    <w:rsid w:val="00AB7E2C"/>
    <w:rsid w:val="00AC1030"/>
    <w:rsid w:val="00AC1806"/>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67F99"/>
    <w:rsid w:val="00B70FDC"/>
    <w:rsid w:val="00B7183D"/>
    <w:rsid w:val="00B719A5"/>
    <w:rsid w:val="00B71EC7"/>
    <w:rsid w:val="00B727A4"/>
    <w:rsid w:val="00B729FE"/>
    <w:rsid w:val="00B73727"/>
    <w:rsid w:val="00B75361"/>
    <w:rsid w:val="00B77556"/>
    <w:rsid w:val="00B848A5"/>
    <w:rsid w:val="00B85881"/>
    <w:rsid w:val="00B862C9"/>
    <w:rsid w:val="00B87D63"/>
    <w:rsid w:val="00B90B82"/>
    <w:rsid w:val="00B96D7D"/>
    <w:rsid w:val="00B979D7"/>
    <w:rsid w:val="00B97FAA"/>
    <w:rsid w:val="00BA0CF5"/>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D0414"/>
    <w:rsid w:val="00BD1C90"/>
    <w:rsid w:val="00BD1DE0"/>
    <w:rsid w:val="00BD21C1"/>
    <w:rsid w:val="00BD449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1705"/>
    <w:rsid w:val="00BF1E10"/>
    <w:rsid w:val="00BF29EE"/>
    <w:rsid w:val="00BF2A28"/>
    <w:rsid w:val="00BF2C8F"/>
    <w:rsid w:val="00BF46EB"/>
    <w:rsid w:val="00BF4EED"/>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3AC9"/>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2CE3"/>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4F15"/>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6DC"/>
    <w:rsid w:val="00D428AC"/>
    <w:rsid w:val="00D43773"/>
    <w:rsid w:val="00D43F84"/>
    <w:rsid w:val="00D456FB"/>
    <w:rsid w:val="00D47E49"/>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5E36"/>
    <w:rsid w:val="00D7625D"/>
    <w:rsid w:val="00D77F7B"/>
    <w:rsid w:val="00D80B3A"/>
    <w:rsid w:val="00D8160F"/>
    <w:rsid w:val="00D81E38"/>
    <w:rsid w:val="00D8243C"/>
    <w:rsid w:val="00D83065"/>
    <w:rsid w:val="00D839F0"/>
    <w:rsid w:val="00D83DD9"/>
    <w:rsid w:val="00D842AF"/>
    <w:rsid w:val="00D842F5"/>
    <w:rsid w:val="00D84EDF"/>
    <w:rsid w:val="00D90256"/>
    <w:rsid w:val="00D9040F"/>
    <w:rsid w:val="00D91B0A"/>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2EAE"/>
    <w:rsid w:val="00E33C7E"/>
    <w:rsid w:val="00E345A2"/>
    <w:rsid w:val="00E35026"/>
    <w:rsid w:val="00E35E5D"/>
    <w:rsid w:val="00E36021"/>
    <w:rsid w:val="00E360C4"/>
    <w:rsid w:val="00E363D2"/>
    <w:rsid w:val="00E411E2"/>
    <w:rsid w:val="00E43C0A"/>
    <w:rsid w:val="00E43C56"/>
    <w:rsid w:val="00E44585"/>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3A03"/>
    <w:rsid w:val="00E73B75"/>
    <w:rsid w:val="00E750A8"/>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56A4"/>
    <w:rsid w:val="00EE64C8"/>
    <w:rsid w:val="00EE6A28"/>
    <w:rsid w:val="00EF1114"/>
    <w:rsid w:val="00EF3B1F"/>
    <w:rsid w:val="00EF6FB0"/>
    <w:rsid w:val="00F000F1"/>
    <w:rsid w:val="00F01E4F"/>
    <w:rsid w:val="00F0242E"/>
    <w:rsid w:val="00F03632"/>
    <w:rsid w:val="00F0392E"/>
    <w:rsid w:val="00F05491"/>
    <w:rsid w:val="00F066F8"/>
    <w:rsid w:val="00F07A0A"/>
    <w:rsid w:val="00F1104A"/>
    <w:rsid w:val="00F11F11"/>
    <w:rsid w:val="00F12221"/>
    <w:rsid w:val="00F14562"/>
    <w:rsid w:val="00F14890"/>
    <w:rsid w:val="00F14C44"/>
    <w:rsid w:val="00F14FEC"/>
    <w:rsid w:val="00F15133"/>
    <w:rsid w:val="00F1687F"/>
    <w:rsid w:val="00F17DE8"/>
    <w:rsid w:val="00F21827"/>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A18E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locked="1" w:semiHidden="0" w:unhideWhenUsed="0"/>
    <w:lsdException w:name="footer" w:locked="1" w:semiHidden="0" w:unhideWhenUsed="0"/>
    <w:lsdException w:name="caption" w:locked="1" w:uiPriority="0" w:qFormat="1"/>
    <w:lsdException w:name="annotation reference" w:uiPriority="0"/>
    <w:lsdException w:name="page number" w:locked="1" w:semiHidden="0" w:unhideWhenUsed="0"/>
    <w:lsdException w:name="List" w:uiPriority="0"/>
    <w:lsdException w:name="List 2" w:uiPriority="0"/>
    <w:lsdException w:name="List Bullet 2" w:uiPriority="0"/>
    <w:lsdException w:name="Title" w:locked="1" w:semiHidden="0" w:unhideWhenUsed="0" w:qFormat="1"/>
    <w:lsdException w:name="Default Paragraph Font" w:locked="1" w:semiHidden="0" w:uiPriority="1" w:unhideWhenUsed="0"/>
    <w:lsdException w:name="Body Text" w:locked="1" w:semiHidden="0" w:unhideWhenUsed="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nhideWhenUsed="0" w:qFormat="1"/>
    <w:lsdException w:name="Emphasis" w:locked="1" w:semiHidden="0" w:uiPriority="0" w:unhideWhenUsed="0" w:qFormat="1"/>
    <w:lsdException w:name="Plain Text" w:uiPriority="0"/>
    <w:lsdException w:name="Outline List 2"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customStyle="1" w:styleId="UnresolvedMention">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link w:val="Odstavecseseznamem"/>
    <w:uiPriority w:val="34"/>
    <w:rsid w:val="00E32EAE"/>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locked="1" w:semiHidden="0" w:unhideWhenUsed="0"/>
    <w:lsdException w:name="footer" w:locked="1" w:semiHidden="0" w:unhideWhenUsed="0"/>
    <w:lsdException w:name="caption" w:locked="1" w:uiPriority="0" w:qFormat="1"/>
    <w:lsdException w:name="annotation reference" w:uiPriority="0"/>
    <w:lsdException w:name="page number" w:locked="1" w:semiHidden="0" w:unhideWhenUsed="0"/>
    <w:lsdException w:name="List" w:uiPriority="0"/>
    <w:lsdException w:name="List 2" w:uiPriority="0"/>
    <w:lsdException w:name="List Bullet 2" w:uiPriority="0"/>
    <w:lsdException w:name="Title" w:locked="1" w:semiHidden="0" w:unhideWhenUsed="0" w:qFormat="1"/>
    <w:lsdException w:name="Default Paragraph Font" w:locked="1" w:semiHidden="0" w:uiPriority="1" w:unhideWhenUsed="0"/>
    <w:lsdException w:name="Body Text" w:locked="1" w:semiHidden="0" w:unhideWhenUsed="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nhideWhenUsed="0" w:qFormat="1"/>
    <w:lsdException w:name="Emphasis" w:locked="1" w:semiHidden="0" w:uiPriority="0" w:unhideWhenUsed="0" w:qFormat="1"/>
    <w:lsdException w:name="Plain Text" w:uiPriority="0"/>
    <w:lsdException w:name="Outline List 2"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customStyle="1" w:styleId="UnresolvedMention">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link w:val="Odstavecseseznamem"/>
    <w:uiPriority w:val="34"/>
    <w:rsid w:val="00E32EAE"/>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enka.kubesova@eon.cz" TargetMode="External"/><Relationship Id="rId18" Type="http://schemas.openxmlformats.org/officeDocument/2006/relationships/hyperlink" Target="https://www.eon-distribuce.cz/vseobecne-nakupni-podminky"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mailto:jitka.novakova@eon.cz" TargetMode="External"/><Relationship Id="rId17" Type="http://schemas.openxmlformats.org/officeDocument/2006/relationships/hyperlink" Target="http://www.eon.cz" TargetMode="Externa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eon-distribuce.cz/vseobecne-nakupni-podmink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r&#269;en&#253;ch"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A5729-5E05-4FC0-8EA4-B4D0CE65EEBA}">
  <ds:schemaRefs>
    <ds:schemaRef ds:uri="http://purl.org/dc/elements/1.1/"/>
    <ds:schemaRef ds:uri="http://schemas.openxmlformats.org/package/2006/metadata/core-properties"/>
    <ds:schemaRef ds:uri="http://schemas.microsoft.com/office/2006/metadata/properties"/>
    <ds:schemaRef ds:uri="http://purl.org/dc/terms/"/>
    <ds:schemaRef ds:uri="http://www.w3.org/XML/1998/namespace"/>
    <ds:schemaRef ds:uri="http://schemas.microsoft.com/office/infopath/2007/PartnerControls"/>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0C10D805-8BCB-4362-B35A-5E45B03B2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8379</Words>
  <Characters>49883</Characters>
  <Application>Microsoft Office Word</Application>
  <DocSecurity>0</DocSecurity>
  <Lines>860</Lines>
  <Paragraphs>425</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57837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Roman Hlaváč</cp:lastModifiedBy>
  <cp:revision>3</cp:revision>
  <cp:lastPrinted>2015-10-14T15:05:00Z</cp:lastPrinted>
  <dcterms:created xsi:type="dcterms:W3CDTF">2019-11-04T09:17:00Z</dcterms:created>
  <dcterms:modified xsi:type="dcterms:W3CDTF">2019-11-04T10:29:00Z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