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33F163"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595106" w:rsidRPr="008F5EFE">
        <w:rPr>
          <w:rFonts w:cs="Arial"/>
          <w:b/>
          <w:bCs/>
          <w:highlight w:val="lightGray"/>
        </w:rPr>
        <w:t xml:space="preserve">Část C: </w:t>
      </w:r>
      <w:r w:rsidR="00595106" w:rsidRPr="008F5EFE">
        <w:rPr>
          <w:rFonts w:cs="Arial"/>
          <w:b/>
          <w:bCs/>
          <w:szCs w:val="20"/>
          <w:highlight w:val="lightGray"/>
        </w:rPr>
        <w:t>Elektroměry jednofázové s komunikací point-to-point s technologií LTE-M / NB-IoT</w:t>
      </w:r>
      <w:r w:rsidR="00595106" w:rsidRPr="00CC231A">
        <w:rPr>
          <w:rFonts w:cs="Arial"/>
          <w:color w:val="FF0000"/>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56D847FB"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D051B0">
        <w:rPr>
          <w:rFonts w:cs="Arial"/>
          <w:szCs w:val="20"/>
        </w:rPr>
        <w:t>16</w:t>
      </w:r>
      <w:r w:rsidR="00D051B0"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7268266B"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w:t>
      </w:r>
      <w:r w:rsidR="008D797A">
        <w:rPr>
          <w:rFonts w:cs="Arial"/>
          <w:szCs w:val="20"/>
        </w:rPr>
        <w:t>16</w:t>
      </w:r>
      <w:r w:rsidR="008D797A" w:rsidRPr="007B5E73">
        <w:rPr>
          <w:rFonts w:cs="Arial"/>
          <w:szCs w:val="20"/>
        </w:rPr>
        <w:t xml:space="preserve"> </w:t>
      </w:r>
      <w:r w:rsidR="00425B13" w:rsidRPr="007B5E73">
        <w:rPr>
          <w:rFonts w:cs="Arial"/>
          <w:szCs w:val="20"/>
        </w:rPr>
        <w:t>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1"/>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6"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6"/>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7"/>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18"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18"/>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4940"/>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106"/>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D797A"/>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9169</Words>
  <Characters>54098</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63141</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