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AA60" w14:textId="4AB7F5CC" w:rsidR="00674433" w:rsidRPr="00E861AB" w:rsidRDefault="00674433" w:rsidP="00674433">
      <w:pPr>
        <w:pStyle w:val="RLnzevsmlouvy"/>
        <w:spacing w:after="120"/>
        <w:rPr>
          <w:rFonts w:asciiTheme="minorHAnsi" w:hAnsiTheme="minorHAnsi" w:cstheme="minorHAnsi"/>
        </w:rPr>
      </w:pPr>
      <w:bookmarkStart w:id="0" w:name="_Ref103005670"/>
      <w:r w:rsidRPr="00E861AB">
        <w:rPr>
          <w:rFonts w:asciiTheme="minorHAnsi" w:hAnsiTheme="minorHAnsi" w:cstheme="minorHAnsi"/>
        </w:rPr>
        <w:t xml:space="preserve">Příloha č. </w:t>
      </w:r>
      <w:proofErr w:type="gramStart"/>
      <w:r>
        <w:rPr>
          <w:rFonts w:asciiTheme="minorHAnsi" w:hAnsiTheme="minorHAnsi" w:cstheme="minorHAnsi"/>
        </w:rPr>
        <w:t>9</w:t>
      </w:r>
      <w:r w:rsidR="00524D9F">
        <w:rPr>
          <w:rFonts w:asciiTheme="minorHAnsi" w:hAnsiTheme="minorHAnsi" w:cstheme="minorHAnsi"/>
        </w:rPr>
        <w:t>a</w:t>
      </w:r>
      <w:proofErr w:type="gramEnd"/>
    </w:p>
    <w:p w14:paraId="463E078E" w14:textId="77777777" w:rsidR="00674433" w:rsidRPr="00E861AB" w:rsidRDefault="00674433" w:rsidP="00674433">
      <w:pPr>
        <w:pStyle w:val="RLnzevsmlouvy"/>
        <w:spacing w:after="120"/>
        <w:rPr>
          <w:sz w:val="24"/>
          <w:szCs w:val="24"/>
        </w:rPr>
      </w:pPr>
      <w:r w:rsidRPr="00E861AB">
        <w:rPr>
          <w:sz w:val="24"/>
          <w:szCs w:val="24"/>
        </w:rPr>
        <w:t xml:space="preserve">K Rámcové dohodě </w:t>
      </w:r>
    </w:p>
    <w:p w14:paraId="54B4B4E4" w14:textId="77777777" w:rsidR="00674433" w:rsidRPr="00E861AB" w:rsidRDefault="00674433" w:rsidP="00674433">
      <w:pPr>
        <w:jc w:val="center"/>
        <w:rPr>
          <w:rFonts w:cstheme="minorHAnsi"/>
          <w:b/>
          <w:bCs/>
          <w:sz w:val="24"/>
          <w:szCs w:val="24"/>
        </w:rPr>
      </w:pPr>
      <w:r w:rsidRPr="00E861AB">
        <w:rPr>
          <w:rFonts w:cstheme="minorHAnsi"/>
          <w:b/>
          <w:bCs/>
          <w:sz w:val="24"/>
          <w:szCs w:val="24"/>
        </w:rPr>
        <w:t xml:space="preserve">Kontrola odběrných míst a </w:t>
      </w:r>
      <w:proofErr w:type="spellStart"/>
      <w:r w:rsidRPr="00E861AB">
        <w:rPr>
          <w:rFonts w:cstheme="minorHAnsi"/>
          <w:b/>
          <w:bCs/>
          <w:sz w:val="24"/>
          <w:szCs w:val="24"/>
        </w:rPr>
        <w:t>řešení</w:t>
      </w:r>
      <w:proofErr w:type="spellEnd"/>
      <w:r w:rsidRPr="00E861AB">
        <w:rPr>
          <w:rFonts w:cstheme="minorHAnsi"/>
          <w:b/>
          <w:bCs/>
          <w:sz w:val="24"/>
          <w:szCs w:val="24"/>
        </w:rPr>
        <w:t xml:space="preserve"> neoprávněných odběrů</w:t>
      </w:r>
    </w:p>
    <w:bookmarkEnd w:id="0"/>
    <w:p w14:paraId="406C2762" w14:textId="276978DA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>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4682419" w14:textId="49742A1E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Ph.D., místopředsedou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  <w:r w:rsidR="00786F35">
        <w:rPr>
          <w:rFonts w:asciiTheme="minorHAnsi" w:hAnsiTheme="minorHAnsi" w:cstheme="minorHAnsi"/>
          <w:szCs w:val="22"/>
        </w:rPr>
        <w:t>, Ing. Davidem Šafářem,</w:t>
      </w:r>
      <w:r w:rsidR="009D41A8">
        <w:rPr>
          <w:rFonts w:asciiTheme="minorHAnsi" w:hAnsiTheme="minorHAnsi" w:cstheme="minorHAnsi"/>
          <w:szCs w:val="22"/>
        </w:rPr>
        <w:br/>
      </w:r>
      <w:r w:rsidR="00786F35">
        <w:rPr>
          <w:rFonts w:asciiTheme="minorHAnsi" w:hAnsiTheme="minorHAnsi" w:cstheme="minorHAnsi"/>
          <w:szCs w:val="22"/>
        </w:rPr>
        <w:t>čl</w:t>
      </w:r>
      <w:r w:rsidR="009D41A8">
        <w:rPr>
          <w:rFonts w:asciiTheme="minorHAnsi" w:hAnsiTheme="minorHAnsi" w:cstheme="minorHAnsi"/>
          <w:szCs w:val="22"/>
        </w:rPr>
        <w:t>e</w:t>
      </w:r>
      <w:r w:rsidR="00786F35">
        <w:rPr>
          <w:rFonts w:asciiTheme="minorHAnsi" w:hAnsiTheme="minorHAnsi" w:cstheme="minorHAnsi"/>
          <w:szCs w:val="22"/>
        </w:rPr>
        <w:t xml:space="preserve">nem představenstva </w:t>
      </w:r>
      <w:r w:rsidRPr="00E41894">
        <w:rPr>
          <w:rFonts w:asciiTheme="minorHAnsi" w:hAnsiTheme="minorHAnsi" w:cstheme="minorHAnsi"/>
          <w:szCs w:val="22"/>
        </w:rPr>
        <w:t>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FB13DE0" w14:textId="6D8A90AD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="00126837">
        <w:rPr>
          <w:rStyle w:val="RLProhlensmluvnchstranChar"/>
          <w:szCs w:val="22"/>
        </w:rPr>
        <w:t>Poskytovatel</w:t>
      </w:r>
      <w:r w:rsidRPr="00E41894">
        <w:rPr>
          <w:rStyle w:val="RLProhlensmluvnchstranChar"/>
          <w:szCs w:val="22"/>
        </w:rPr>
        <w:t xml:space="preserve">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96E3C3A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126837">
        <w:rPr>
          <w:rFonts w:asciiTheme="minorHAnsi" w:hAnsiTheme="minorHAnsi" w:cstheme="minorHAnsi"/>
          <w:b/>
          <w:lang w:val="cs-CZ"/>
        </w:rPr>
        <w:t>Poskytovatel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088C4620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28DB2F62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 xml:space="preserve">Ostatní povinnosti </w:t>
            </w:r>
            <w:r w:rsidR="00126837">
              <w:rPr>
                <w:rStyle w:val="Hypertextovodkaz"/>
                <w:rFonts w:cstheme="minorHAnsi"/>
                <w:color w:val="auto"/>
              </w:rPr>
              <w:t>Poskytovatel</w:t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C7723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1" w:name="_Toc489512609"/>
      <w:bookmarkStart w:id="2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1"/>
      <w:bookmarkEnd w:id="2"/>
    </w:p>
    <w:p w14:paraId="1B004F42" w14:textId="46A3BD80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2E29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551B0F" w:rsidRPr="00E41894">
        <w:rPr>
          <w:rFonts w:asciiTheme="minorHAnsi" w:hAnsiTheme="minorHAnsi" w:cstheme="minorHAnsi"/>
          <w:lang w:val="cs-CZ"/>
        </w:rPr>
        <w:t xml:space="preserve">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2673F3" w:rsidRPr="00E41894">
        <w:rPr>
          <w:rFonts w:asciiTheme="minorHAnsi" w:hAnsiTheme="minorHAnsi" w:cstheme="minorHAnsi"/>
          <w:lang w:val="cs-CZ"/>
        </w:rPr>
        <w:t xml:space="preserve">e nebo třetích osob, které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2673F3" w:rsidRPr="00E41894">
        <w:rPr>
          <w:rFonts w:asciiTheme="minorHAnsi" w:hAnsiTheme="minorHAnsi" w:cstheme="minorHAnsi"/>
          <w:lang w:val="cs-CZ"/>
        </w:rPr>
        <w:t xml:space="preserve">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1518F05B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34BC401C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3" w:name="_Toc489512610"/>
      <w:bookmarkStart w:id="4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3"/>
      <w:bookmarkEnd w:id="4"/>
    </w:p>
    <w:p w14:paraId="50E0FDB9" w14:textId="393F2F56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="00126837">
        <w:rPr>
          <w:rFonts w:asciiTheme="minorHAnsi" w:hAnsiTheme="minorHAnsi" w:cstheme="minorHAnsi"/>
          <w:lang w:val="cs-CZ"/>
        </w:rPr>
        <w:t xml:space="preserve"> (Rámcové dohody)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7E0AF6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7E0AF6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2881DE85" w:rsidR="004F7BCF" w:rsidRPr="004D51BD" w:rsidRDefault="00676479" w:rsidP="004D51BD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</w:t>
      </w:r>
      <w:r w:rsidR="00126837">
        <w:rPr>
          <w:rFonts w:asciiTheme="minorHAnsi" w:hAnsiTheme="minorHAnsi" w:cstheme="minorHAnsi"/>
          <w:lang w:val="cs-CZ"/>
        </w:rPr>
        <w:t xml:space="preserve">72 měsíců </w:t>
      </w:r>
      <w:r w:rsidR="004D51BD">
        <w:rPr>
          <w:rFonts w:asciiTheme="minorHAnsi" w:hAnsiTheme="minorHAnsi" w:cstheme="minorHAnsi"/>
          <w:lang w:val="cs-CZ"/>
        </w:rPr>
        <w:t>od</w:t>
      </w:r>
      <w:r w:rsidR="00126837">
        <w:rPr>
          <w:rFonts w:asciiTheme="minorHAnsi" w:hAnsiTheme="minorHAnsi" w:cstheme="minorHAnsi"/>
          <w:lang w:val="cs-CZ"/>
        </w:rPr>
        <w:t xml:space="preserve"> podpisu </w:t>
      </w:r>
      <w:bookmarkStart w:id="5" w:name="_Hlk88118852"/>
      <w:r w:rsidR="004D51BD">
        <w:rPr>
          <w:rFonts w:asciiTheme="minorHAnsi" w:hAnsiTheme="minorHAnsi" w:cstheme="minorHAnsi"/>
          <w:lang w:val="cs-CZ"/>
        </w:rPr>
        <w:t>Rámcové dohody „</w:t>
      </w:r>
      <w:r w:rsidR="004D51BD" w:rsidRPr="003122F4">
        <w:t xml:space="preserve">Kontrola odběrných míst a </w:t>
      </w:r>
      <w:proofErr w:type="spellStart"/>
      <w:r w:rsidR="004D51BD" w:rsidRPr="003122F4">
        <w:t>řešení</w:t>
      </w:r>
      <w:proofErr w:type="spellEnd"/>
      <w:r w:rsidR="004D51BD" w:rsidRPr="003122F4">
        <w:t xml:space="preserve"> neoprávněných odběrů</w:t>
      </w:r>
      <w:bookmarkEnd w:id="5"/>
      <w:r w:rsidR="004D51BD">
        <w:t>“</w:t>
      </w:r>
      <w:r w:rsidR="001C18D0" w:rsidRPr="004D51BD">
        <w:rPr>
          <w:rFonts w:asciiTheme="minorHAnsi" w:hAnsiTheme="minorHAnsi" w:cstheme="minorHAnsi"/>
          <w:lang w:val="cs-CZ"/>
        </w:rPr>
        <w:t>.</w:t>
      </w:r>
      <w:r w:rsidRPr="004D51BD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126837" w:rsidRPr="004D51BD">
        <w:rPr>
          <w:rFonts w:asciiTheme="minorHAnsi" w:hAnsiTheme="minorHAnsi" w:cstheme="minorHAnsi"/>
          <w:lang w:val="cs-CZ"/>
        </w:rPr>
        <w:t>Poskytovatel</w:t>
      </w:r>
      <w:r w:rsidR="00FC2BCD" w:rsidRPr="004D51BD">
        <w:rPr>
          <w:rFonts w:asciiTheme="minorHAnsi" w:hAnsiTheme="minorHAnsi" w:cstheme="minorHAnsi"/>
          <w:lang w:val="cs-CZ"/>
        </w:rPr>
        <w:t xml:space="preserve"> </w:t>
      </w:r>
      <w:r w:rsidR="000A38DE" w:rsidRPr="004D51BD">
        <w:rPr>
          <w:rFonts w:asciiTheme="minorHAnsi" w:hAnsiTheme="minorHAnsi" w:cstheme="minorHAnsi"/>
          <w:lang w:val="cs-CZ"/>
        </w:rPr>
        <w:t xml:space="preserve">se zavazuje </w:t>
      </w:r>
      <w:r w:rsidR="007C4AA4" w:rsidRPr="004D51BD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4D51BD">
        <w:rPr>
          <w:rFonts w:asciiTheme="minorHAnsi" w:hAnsiTheme="minorHAnsi" w:cstheme="minorHAnsi"/>
          <w:lang w:val="cs-CZ"/>
        </w:rPr>
        <w:t>v elektronické i písemné podobě.</w:t>
      </w:r>
      <w:r w:rsidR="000A38DE" w:rsidRPr="004D51BD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1"/>
      <w:bookmarkStart w:id="7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6"/>
      <w:bookmarkEnd w:id="7"/>
    </w:p>
    <w:p w14:paraId="7FB04056" w14:textId="3D7F9B04" w:rsidR="00975973" w:rsidRPr="00E41894" w:rsidRDefault="00126837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7D5D2A58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7FC63742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AC935D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158AD38C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4A7D9B16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2"/>
      <w:bookmarkStart w:id="9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8"/>
      <w:bookmarkEnd w:id="9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4109A95D" w:rsidR="00F93A85" w:rsidRPr="00E41894" w:rsidRDefault="00126837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>
        <w:rPr>
          <w:rFonts w:asciiTheme="minorHAnsi" w:hAnsiTheme="minorHAnsi" w:cstheme="minorHAnsi"/>
          <w:lang w:val="cs-CZ"/>
        </w:rPr>
        <w:t>Poskytovatel</w:t>
      </w:r>
      <w:r w:rsidR="00A421CC" w:rsidRPr="00E41894">
        <w:rPr>
          <w:rFonts w:asciiTheme="minorHAnsi" w:hAnsiTheme="minorHAnsi" w:cstheme="minorHAnsi"/>
          <w:lang w:val="cs-CZ"/>
        </w:rPr>
        <w:t xml:space="preserve">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3863B28A" w:rsidR="00862227" w:rsidRPr="00E41894" w:rsidRDefault="00126837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A421CC" w:rsidRPr="00E41894">
        <w:rPr>
          <w:rFonts w:asciiTheme="minorHAnsi" w:hAnsiTheme="minorHAnsi" w:cstheme="minorHAnsi"/>
          <w:lang w:val="cs-CZ"/>
        </w:rPr>
        <w:t xml:space="preserve">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="00A421CC"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="00A421CC"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="00A421CC"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="00A421CC"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="00A421CC"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1B271CA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2B5E7617" w:rsidR="000C6E66" w:rsidRPr="00E41894" w:rsidRDefault="00126837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4B59AF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="004B59AF"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2F401575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0B7B58E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3E4D6BEA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3"/>
      <w:bookmarkStart w:id="11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10"/>
      <w:bookmarkEnd w:id="11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7F0B27A8" w:rsidR="00B117B1" w:rsidRPr="00E41894" w:rsidRDefault="00126837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37AD41DB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5DE70795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 xml:space="preserve">smlouvu na straně Objednatele, musí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55B97E1A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 xml:space="preserve">, musí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2F5F1120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1B03E146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2" w:name="_Toc489512614"/>
      <w:bookmarkStart w:id="13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2"/>
      <w:r w:rsidR="00126837">
        <w:rPr>
          <w:rFonts w:asciiTheme="minorHAnsi" w:hAnsiTheme="minorHAnsi" w:cstheme="minorHAnsi"/>
          <w:color w:val="auto"/>
          <w:szCs w:val="22"/>
          <w:lang w:val="cs-CZ"/>
        </w:rPr>
        <w:t>Poskytovatel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3"/>
    </w:p>
    <w:p w14:paraId="105E59B7" w14:textId="6A490DEB" w:rsidR="00837B22" w:rsidRPr="00E41894" w:rsidRDefault="00126837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>
        <w:rPr>
          <w:rFonts w:asciiTheme="minorHAnsi" w:hAnsiTheme="minorHAnsi" w:cstheme="minorHAnsi"/>
          <w:lang w:val="cs-CZ"/>
        </w:rPr>
        <w:t>Poskytovatel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356F4F7C" w:rsidR="00FC17C7" w:rsidRPr="00E41894" w:rsidRDefault="00126837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1F04408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40A13A0F" w:rsidR="00613380" w:rsidRPr="00E41894" w:rsidRDefault="00126837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>
        <w:rPr>
          <w:rFonts w:asciiTheme="minorHAnsi" w:hAnsiTheme="minorHAnsi" w:cstheme="minorHAnsi"/>
          <w:lang w:val="cs-CZ"/>
        </w:rPr>
        <w:t>Poskytovatel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>
        <w:rPr>
          <w:rFonts w:asciiTheme="minorHAnsi" w:hAnsiTheme="minorHAnsi" w:cstheme="minorHAnsi"/>
          <w:lang w:val="cs-CZ"/>
        </w:rPr>
        <w:t>Poskytovatel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3AE8F997" w:rsidR="004F7BCF" w:rsidRPr="00E41894" w:rsidRDefault="00126837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4F7BCF" w:rsidRPr="00E41894">
        <w:rPr>
          <w:rFonts w:asciiTheme="minorHAnsi" w:hAnsiTheme="minorHAnsi" w:cstheme="minorHAnsi"/>
          <w:lang w:val="cs-CZ"/>
        </w:rPr>
        <w:t xml:space="preserve"> není oprávněn zpřístupnit jakékoliv osobní údaje třetím osobám nebo je používat pro vlastní potřebu, zejména pro marketingové účely.</w:t>
      </w:r>
    </w:p>
    <w:p w14:paraId="3BFC1825" w14:textId="74F7B572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4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4"/>
    </w:p>
    <w:p w14:paraId="6D75454A" w14:textId="6A028CD9" w:rsidR="004F7BCF" w:rsidRPr="00E41894" w:rsidRDefault="00C77237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7B55CD4E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3469ED"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3C8E226F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2F7368F4" w:rsidR="00C4607D" w:rsidRPr="00E41894" w:rsidRDefault="00126837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lastRenderedPageBreak/>
        <w:t>Poskytovatel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5F86C69A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126837">
        <w:rPr>
          <w:rFonts w:asciiTheme="minorHAnsi" w:hAnsiTheme="minorHAnsi" w:cstheme="minorHAnsi"/>
          <w:szCs w:val="22"/>
        </w:rPr>
        <w:t>Poskytovatel</w:t>
      </w:r>
      <w:r w:rsidR="003469ED" w:rsidRPr="00E41894">
        <w:rPr>
          <w:rFonts w:asciiTheme="minorHAnsi" w:hAnsiTheme="minorHAnsi" w:cstheme="minorHAnsi"/>
          <w:szCs w:val="22"/>
        </w:rPr>
        <w:t>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148EE95E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126837">
        <w:rPr>
          <w:rFonts w:asciiTheme="minorHAnsi" w:hAnsiTheme="minorHAnsi" w:cstheme="minorHAnsi"/>
          <w:szCs w:val="22"/>
        </w:rPr>
        <w:t>Poskytovatel</w:t>
      </w:r>
      <w:r w:rsidR="00D57608" w:rsidRPr="00E41894">
        <w:rPr>
          <w:rFonts w:asciiTheme="minorHAnsi" w:hAnsiTheme="minorHAnsi" w:cstheme="minorHAnsi"/>
          <w:szCs w:val="22"/>
        </w:rPr>
        <w:t xml:space="preserve">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126837">
        <w:rPr>
          <w:rFonts w:asciiTheme="minorHAnsi" w:hAnsiTheme="minorHAnsi" w:cstheme="minorHAnsi"/>
          <w:szCs w:val="22"/>
        </w:rPr>
        <w:t>Poskytovatel</w:t>
      </w:r>
      <w:r w:rsidR="00D57608" w:rsidRPr="00E41894">
        <w:rPr>
          <w:rFonts w:asciiTheme="minorHAnsi" w:hAnsiTheme="minorHAnsi" w:cstheme="minorHAnsi"/>
          <w:szCs w:val="22"/>
        </w:rPr>
        <w:t xml:space="preserve">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6DDB202B" w:rsidR="003E35D9" w:rsidRPr="00E41894" w:rsidRDefault="00126837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D57608" w:rsidRPr="00E41894">
        <w:rPr>
          <w:rFonts w:asciiTheme="minorHAnsi" w:hAnsiTheme="minorHAnsi" w:cstheme="minorHAnsi"/>
          <w:lang w:val="cs-CZ"/>
        </w:rPr>
        <w:t xml:space="preserve">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5" w:name="_Toc489512615"/>
      <w:bookmarkStart w:id="16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5"/>
      <w:bookmarkEnd w:id="16"/>
    </w:p>
    <w:p w14:paraId="4537F71B" w14:textId="3C04D985" w:rsidR="008E5605" w:rsidRPr="00E41894" w:rsidRDefault="00126837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3F795D3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3653AD" w:rsidRPr="00E41894">
        <w:rPr>
          <w:rFonts w:asciiTheme="minorHAnsi" w:hAnsiTheme="minorHAnsi" w:cstheme="minorHAnsi"/>
          <w:lang w:val="cs-CZ"/>
        </w:rPr>
        <w:t xml:space="preserve">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3B96B274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4B103B54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7" w:name="_Toc534876764"/>
      <w:bookmarkStart w:id="18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7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8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65599CDF" w:rsidR="00D6602A" w:rsidRPr="00E41894" w:rsidRDefault="00126837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lastRenderedPageBreak/>
        <w:t>Poskytovatel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>
        <w:rPr>
          <w:rFonts w:asciiTheme="minorHAnsi" w:hAnsiTheme="minorHAnsi" w:cstheme="minorHAnsi"/>
          <w:lang w:val="cs-CZ"/>
        </w:rPr>
        <w:t>Poskytovatel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>
        <w:rPr>
          <w:rFonts w:asciiTheme="minorHAnsi" w:hAnsiTheme="minorHAnsi" w:cstheme="minorHAnsi"/>
          <w:lang w:val="cs-CZ"/>
        </w:rPr>
        <w:t>Poskytovatel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>
        <w:rPr>
          <w:rFonts w:asciiTheme="minorHAnsi" w:hAnsiTheme="minorHAnsi" w:cstheme="minorHAnsi"/>
          <w:lang w:val="cs-CZ"/>
        </w:rPr>
        <w:t>Poskytovatel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9" w:name="_Toc489512617"/>
      <w:bookmarkStart w:id="20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9"/>
      <w:bookmarkEnd w:id="20"/>
    </w:p>
    <w:p w14:paraId="72363B72" w14:textId="468296C6" w:rsidR="00FC17C7" w:rsidRPr="00E41894" w:rsidRDefault="00126837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21" w:name="_Ref487537620"/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21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2919A15A" w:rsidR="00FC17C7" w:rsidRPr="00E41894" w:rsidRDefault="00126837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2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2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7D8EC228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6A522A2E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126837">
        <w:rPr>
          <w:rFonts w:asciiTheme="minorHAnsi" w:hAnsiTheme="minorHAnsi" w:cstheme="minorHAnsi"/>
          <w:lang w:val="cs-CZ"/>
        </w:rPr>
        <w:t>Poskytovatel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3" w:name="_Toc489512619"/>
      <w:bookmarkStart w:id="24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3"/>
      <w:bookmarkEnd w:id="24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25F65DD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 xml:space="preserve">je zahrnuta do odměny poskytované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552A56" w:rsidRPr="00E41894">
        <w:rPr>
          <w:rFonts w:asciiTheme="minorHAnsi" w:hAnsiTheme="minorHAnsi" w:cstheme="minorHAnsi"/>
          <w:lang w:val="cs-CZ"/>
        </w:rPr>
        <w:t>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6DAEEA53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6837">
        <w:rPr>
          <w:rFonts w:asciiTheme="minorHAnsi" w:hAnsiTheme="minorHAnsi" w:cstheme="minorHAnsi"/>
          <w:lang w:val="cs-CZ"/>
        </w:rPr>
        <w:t>Poskytovatel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11460894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49730975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  <w:r w:rsidR="004D51BD">
        <w:rPr>
          <w:rFonts w:asciiTheme="minorHAnsi" w:hAnsiTheme="minorHAnsi" w:cstheme="minorHAnsi"/>
          <w:lang w:val="cs-CZ"/>
        </w:rPr>
        <w:t xml:space="preserve">- Příloha </w:t>
      </w:r>
      <w:proofErr w:type="gramStart"/>
      <w:r w:rsidR="004D51BD">
        <w:rPr>
          <w:rFonts w:asciiTheme="minorHAnsi" w:hAnsiTheme="minorHAnsi" w:cstheme="minorHAnsi"/>
          <w:lang w:val="cs-CZ"/>
        </w:rPr>
        <w:t>9b</w:t>
      </w:r>
      <w:proofErr w:type="gramEnd"/>
    </w:p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8318" w14:textId="77777777" w:rsidR="00C77237" w:rsidRDefault="00C77237" w:rsidP="00B436A8">
      <w:pPr>
        <w:spacing w:after="0" w:line="240" w:lineRule="auto"/>
      </w:pPr>
      <w:r>
        <w:separator/>
      </w:r>
    </w:p>
  </w:endnote>
  <w:endnote w:type="continuationSeparator" w:id="0">
    <w:p w14:paraId="4C713D02" w14:textId="77777777" w:rsidR="00C77237" w:rsidRDefault="00C77237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D8B7" w14:textId="77777777" w:rsidR="00C77237" w:rsidRDefault="00C77237" w:rsidP="00B436A8">
      <w:pPr>
        <w:spacing w:after="0" w:line="240" w:lineRule="auto"/>
      </w:pPr>
      <w:r>
        <w:separator/>
      </w:r>
    </w:p>
  </w:footnote>
  <w:footnote w:type="continuationSeparator" w:id="0">
    <w:p w14:paraId="45C69EC3" w14:textId="77777777" w:rsidR="00C77237" w:rsidRDefault="00C77237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9EED" w14:textId="77777777" w:rsidR="00674433" w:rsidRDefault="00674433" w:rsidP="00674433">
    <w:pPr>
      <w:pStyle w:val="Zhlav"/>
      <w:spacing w:before="0"/>
      <w:jc w:val="right"/>
      <w:rPr>
        <w:b/>
        <w:sz w:val="18"/>
        <w:szCs w:val="20"/>
      </w:rPr>
    </w:pPr>
    <w:proofErr w:type="spellStart"/>
    <w:r>
      <w:rPr>
        <w:b/>
        <w:sz w:val="18"/>
        <w:szCs w:val="20"/>
      </w:rPr>
      <w:t>Číslo</w:t>
    </w:r>
    <w:proofErr w:type="spellEnd"/>
    <w:r>
      <w:rPr>
        <w:b/>
        <w:sz w:val="18"/>
        <w:szCs w:val="20"/>
      </w:rPr>
      <w:t xml:space="preserve"> </w:t>
    </w:r>
    <w:proofErr w:type="spellStart"/>
    <w:r>
      <w:rPr>
        <w:b/>
        <w:sz w:val="18"/>
        <w:szCs w:val="20"/>
      </w:rPr>
      <w:t>smlouvy</w:t>
    </w:r>
    <w:proofErr w:type="spellEnd"/>
    <w:r>
      <w:rPr>
        <w:b/>
        <w:sz w:val="18"/>
        <w:szCs w:val="20"/>
      </w:rPr>
      <w:t xml:space="preserve"> objednatele: </w:t>
    </w:r>
    <w:proofErr w:type="spellStart"/>
    <w:r w:rsidRPr="000A0E80">
      <w:rPr>
        <w:b/>
        <w:sz w:val="18"/>
        <w:szCs w:val="20"/>
        <w:highlight w:val="yellow"/>
      </w:rPr>
      <w:t>doplní</w:t>
    </w:r>
    <w:proofErr w:type="spellEnd"/>
    <w:r w:rsidRPr="000A0E80">
      <w:rPr>
        <w:b/>
        <w:sz w:val="18"/>
        <w:szCs w:val="20"/>
        <w:highlight w:val="yellow"/>
      </w:rPr>
      <w:t xml:space="preserve"> </w:t>
    </w:r>
    <w:proofErr w:type="spellStart"/>
    <w:r w:rsidRPr="000A0E80">
      <w:rPr>
        <w:b/>
        <w:sz w:val="18"/>
        <w:szCs w:val="20"/>
        <w:highlight w:val="yellow"/>
      </w:rPr>
      <w:t>zadavatel</w:t>
    </w:r>
    <w:proofErr w:type="spellEnd"/>
  </w:p>
  <w:p w14:paraId="1C5FBEC5" w14:textId="59484772" w:rsidR="00674433" w:rsidRDefault="00674433" w:rsidP="00674433">
    <w:pPr>
      <w:pStyle w:val="Zhlav"/>
      <w:spacing w:before="0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proofErr w:type="spellStart"/>
    <w:r>
      <w:rPr>
        <w:b/>
        <w:sz w:val="18"/>
        <w:szCs w:val="20"/>
      </w:rPr>
      <w:t>Číslo</w:t>
    </w:r>
    <w:proofErr w:type="spellEnd"/>
    <w:r>
      <w:rPr>
        <w:b/>
        <w:sz w:val="18"/>
        <w:szCs w:val="20"/>
      </w:rPr>
      <w:t xml:space="preserve"> </w:t>
    </w:r>
    <w:proofErr w:type="spellStart"/>
    <w:r>
      <w:rPr>
        <w:b/>
        <w:sz w:val="18"/>
        <w:szCs w:val="20"/>
      </w:rPr>
      <w:t>smlouvy</w:t>
    </w:r>
    <w:proofErr w:type="spellEnd"/>
    <w:r>
      <w:rPr>
        <w:b/>
        <w:sz w:val="18"/>
        <w:szCs w:val="20"/>
      </w:rPr>
      <w:t xml:space="preserve"> </w:t>
    </w:r>
    <w:proofErr w:type="spellStart"/>
    <w:r>
      <w:rPr>
        <w:b/>
        <w:sz w:val="18"/>
        <w:szCs w:val="20"/>
      </w:rPr>
      <w:t>poskytovatele</w:t>
    </w:r>
    <w:proofErr w:type="spellEnd"/>
    <w:r>
      <w:rPr>
        <w:b/>
        <w:sz w:val="18"/>
        <w:szCs w:val="20"/>
      </w:rPr>
      <w:t xml:space="preserve">: </w:t>
    </w:r>
    <w:proofErr w:type="spellStart"/>
    <w:r w:rsidRPr="001A1360">
      <w:rPr>
        <w:b/>
        <w:sz w:val="18"/>
        <w:szCs w:val="20"/>
        <w:highlight w:val="green"/>
      </w:rPr>
      <w:t>doplní</w:t>
    </w:r>
    <w:proofErr w:type="spellEnd"/>
    <w:r w:rsidRPr="001A1360">
      <w:rPr>
        <w:b/>
        <w:sz w:val="18"/>
        <w:szCs w:val="20"/>
        <w:highlight w:val="green"/>
      </w:rPr>
      <w:t xml:space="preserve"> </w:t>
    </w:r>
    <w:r>
      <w:rPr>
        <w:b/>
        <w:sz w:val="18"/>
        <w:szCs w:val="20"/>
        <w:highlight w:val="green"/>
      </w:rPr>
      <w:t>účastník</w:t>
    </w:r>
  </w:p>
  <w:p w14:paraId="202648C9" w14:textId="61283E93" w:rsidR="00674433" w:rsidRDefault="00674433" w:rsidP="00674433">
    <w:pPr>
      <w:pStyle w:val="Zhlav"/>
      <w:spacing w:before="0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>
      <w:rPr>
        <w:b/>
        <w:sz w:val="18"/>
        <w:szCs w:val="20"/>
      </w:rPr>
      <w:tab/>
    </w:r>
  </w:p>
  <w:p w14:paraId="77C309DA" w14:textId="57E866C6" w:rsidR="00674433" w:rsidRPr="00312671" w:rsidRDefault="00674433" w:rsidP="00674433">
    <w:pPr>
      <w:pStyle w:val="Zhlav"/>
      <w:spacing w:before="0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proofErr w:type="spellStart"/>
    <w:r w:rsidRPr="00A86F8D">
      <w:rPr>
        <w:b/>
        <w:sz w:val="18"/>
        <w:szCs w:val="20"/>
      </w:rPr>
      <w:t>Stránka</w:t>
    </w:r>
    <w:proofErr w:type="spellEnd"/>
    <w:r w:rsidRPr="00A86F8D">
      <w:rPr>
        <w:b/>
        <w:sz w:val="18"/>
        <w:szCs w:val="20"/>
      </w:rPr>
      <w:t xml:space="preserve">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PAGE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</w:rPr>
      <w:t>1</w:t>
    </w:r>
    <w:r w:rsidRPr="00A86F8D">
      <w:rPr>
        <w:b/>
        <w:bCs/>
        <w:sz w:val="18"/>
        <w:szCs w:val="20"/>
      </w:rPr>
      <w:fldChar w:fldCharType="end"/>
    </w:r>
    <w:r w:rsidRPr="00A86F8D">
      <w:rPr>
        <w:b/>
        <w:sz w:val="18"/>
        <w:szCs w:val="20"/>
      </w:rPr>
      <w:t xml:space="preserve"> z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NUMPAGES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</w:rPr>
      <w:t>9</w:t>
    </w:r>
    <w:r w:rsidRPr="00A86F8D">
      <w:rPr>
        <w:b/>
        <w:bCs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26837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4D57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51BD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4D9F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77E19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4984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4433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35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41A8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09F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77237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B4115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57AD7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056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1D7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3507</Words>
  <Characters>21259</Characters>
  <Application>Microsoft Office Word</Application>
  <DocSecurity>0</DocSecurity>
  <Lines>379</Lines>
  <Paragraphs>167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2022-06-27T12:16:00Z</dcterms:created>
  <dcterms:modified xsi:type="dcterms:W3CDTF">2022-08-08T09:49:00Z</dcterms:modified>
</cp:coreProperties>
</file>