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3A0124BD" w14:textId="6F1D0494" w:rsidR="009D4745" w:rsidRPr="00325BBD" w:rsidRDefault="009F71BC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sz w:val="20"/>
        </w:rPr>
        <w:t xml:space="preserve">Název Stavby: </w:t>
      </w:r>
      <w:r w:rsidRPr="00325BBD">
        <w:rPr>
          <w:rFonts w:cs="Arial"/>
          <w:b/>
          <w:sz w:val="20"/>
        </w:rPr>
        <w:t>„</w:t>
      </w:r>
      <w:r w:rsidR="006812A2" w:rsidRPr="006812A2">
        <w:rPr>
          <w:rFonts w:cs="Arial"/>
          <w:b/>
          <w:sz w:val="20"/>
        </w:rPr>
        <w:t>VN l. Kamenice: PRS Lodhéřov, optika</w:t>
      </w:r>
      <w:r w:rsidRPr="00325BBD">
        <w:rPr>
          <w:rFonts w:cs="Arial"/>
          <w:b/>
          <w:sz w:val="20"/>
        </w:rPr>
        <w:t>“</w:t>
      </w: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99E6" w14:textId="77777777" w:rsidR="00C94A5E" w:rsidRDefault="00C94A5E" w:rsidP="007254DC">
      <w:r>
        <w:separator/>
      </w:r>
    </w:p>
  </w:endnote>
  <w:endnote w:type="continuationSeparator" w:id="0">
    <w:p w14:paraId="3BD1BC79" w14:textId="77777777" w:rsidR="00C94A5E" w:rsidRDefault="00C94A5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A08F" w14:textId="77777777" w:rsidR="00C94A5E" w:rsidRDefault="00C94A5E" w:rsidP="007254DC">
      <w:r>
        <w:separator/>
      </w:r>
    </w:p>
  </w:footnote>
  <w:footnote w:type="continuationSeparator" w:id="0">
    <w:p w14:paraId="61EF3EBF" w14:textId="77777777" w:rsidR="00C94A5E" w:rsidRDefault="00C94A5E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48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12A2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4AAB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07C5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4A5E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Jiroušková, Anna</cp:lastModifiedBy>
  <cp:revision>8</cp:revision>
  <cp:lastPrinted>2019-06-04T11:19:00Z</cp:lastPrinted>
  <dcterms:created xsi:type="dcterms:W3CDTF">2022-10-06T11:15:00Z</dcterms:created>
  <dcterms:modified xsi:type="dcterms:W3CDTF">2022-11-14T13:34:00Z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