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6143286E" w:rsidR="00D32EDE" w:rsidRDefault="00D32EDE" w:rsidP="00D32EDE">
      <w:pPr>
        <w:jc w:val="center"/>
        <w:rPr>
          <w:b/>
          <w:sz w:val="24"/>
          <w:szCs w:val="24"/>
          <w:u w:val="single"/>
        </w:rPr>
      </w:pPr>
      <w:r>
        <w:rPr>
          <w:b/>
          <w:sz w:val="24"/>
          <w:szCs w:val="24"/>
          <w:u w:val="single"/>
        </w:rPr>
        <w:t xml:space="preserve">část </w:t>
      </w:r>
      <w:r w:rsidR="00913852">
        <w:rPr>
          <w:b/>
          <w:sz w:val="24"/>
          <w:szCs w:val="24"/>
          <w:u w:val="single"/>
        </w:rPr>
        <w:t>3</w:t>
      </w:r>
      <w:r>
        <w:rPr>
          <w:b/>
          <w:sz w:val="24"/>
          <w:szCs w:val="24"/>
          <w:u w:val="single"/>
        </w:rPr>
        <w:t xml:space="preserve"> sektorové veřejné zakázky: </w:t>
      </w:r>
      <w:r w:rsidR="00913852" w:rsidRPr="00913852">
        <w:rPr>
          <w:b/>
          <w:sz w:val="24"/>
          <w:szCs w:val="24"/>
          <w:u w:val="single"/>
        </w:rPr>
        <w:t>RS Nové Město na Moravě</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elektroměrů - Chammeleon</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2841D16D" w:rsidR="00020220" w:rsidRDefault="00A44E00"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913852"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3EFC83F7" w:rsidR="00913852" w:rsidRPr="009253C4" w:rsidRDefault="00913852" w:rsidP="00913852">
            <w:pPr>
              <w:spacing w:after="0" w:line="240" w:lineRule="auto"/>
              <w:ind w:left="0" w:firstLine="0"/>
              <w:jc w:val="center"/>
              <w:rPr>
                <w:rFonts w:eastAsia="Times New Roman" w:cstheme="minorHAnsi"/>
                <w:lang w:eastAsia="cs-CZ"/>
              </w:rPr>
            </w:pPr>
            <w:r>
              <w:rPr>
                <w:rFonts w:cstheme="minorHAnsi"/>
                <w:color w:val="000000"/>
                <w:lang w:eastAsia="cs-CZ"/>
              </w:rPr>
              <w:t>RS Nové Město na Moravě</w:t>
            </w:r>
          </w:p>
        </w:tc>
        <w:tc>
          <w:tcPr>
            <w:tcW w:w="992" w:type="dxa"/>
            <w:tcBorders>
              <w:top w:val="single" w:sz="4" w:space="0" w:color="auto"/>
              <w:left w:val="nil"/>
              <w:bottom w:val="single" w:sz="4" w:space="0" w:color="auto"/>
              <w:right w:val="single" w:sz="4" w:space="0" w:color="auto"/>
            </w:tcBorders>
            <w:vAlign w:val="center"/>
            <w:hideMark/>
          </w:tcPr>
          <w:p w14:paraId="72BF18BC" w14:textId="7DA3BDC4" w:rsidR="00913852" w:rsidRPr="00477691" w:rsidRDefault="00913852" w:rsidP="00913852">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4B6BF54A" w:rsidR="00913852" w:rsidRPr="00477691" w:rsidRDefault="00913852" w:rsidP="00913852">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6306</w:t>
            </w:r>
          </w:p>
        </w:tc>
        <w:tc>
          <w:tcPr>
            <w:tcW w:w="993" w:type="dxa"/>
            <w:tcBorders>
              <w:top w:val="nil"/>
              <w:left w:val="nil"/>
              <w:bottom w:val="single" w:sz="4" w:space="0" w:color="auto"/>
              <w:right w:val="single" w:sz="4" w:space="0" w:color="auto"/>
            </w:tcBorders>
            <w:noWrap/>
            <w:vAlign w:val="center"/>
            <w:hideMark/>
          </w:tcPr>
          <w:p w14:paraId="29AC9C44" w14:textId="3A359451" w:rsidR="00913852" w:rsidRPr="00477691" w:rsidRDefault="00913852" w:rsidP="00913852">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9269</w:t>
            </w:r>
          </w:p>
        </w:tc>
        <w:tc>
          <w:tcPr>
            <w:tcW w:w="992" w:type="dxa"/>
            <w:tcBorders>
              <w:top w:val="nil"/>
              <w:left w:val="nil"/>
              <w:bottom w:val="single" w:sz="4" w:space="0" w:color="auto"/>
              <w:right w:val="single" w:sz="4" w:space="0" w:color="auto"/>
            </w:tcBorders>
            <w:noWrap/>
            <w:vAlign w:val="center"/>
            <w:hideMark/>
          </w:tcPr>
          <w:p w14:paraId="5DF3B006" w14:textId="53E0A3F9" w:rsidR="00913852" w:rsidRPr="00477691" w:rsidRDefault="00913852" w:rsidP="00913852">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12560</w:t>
            </w:r>
          </w:p>
        </w:tc>
        <w:tc>
          <w:tcPr>
            <w:tcW w:w="992" w:type="dxa"/>
            <w:tcBorders>
              <w:top w:val="nil"/>
              <w:left w:val="nil"/>
              <w:bottom w:val="single" w:sz="4" w:space="0" w:color="auto"/>
              <w:right w:val="single" w:sz="4" w:space="0" w:color="auto"/>
            </w:tcBorders>
            <w:noWrap/>
            <w:vAlign w:val="center"/>
            <w:hideMark/>
          </w:tcPr>
          <w:p w14:paraId="68B4AF6B" w14:textId="4180788C" w:rsidR="00913852" w:rsidRPr="00477691" w:rsidRDefault="00913852" w:rsidP="00913852">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9766</w:t>
            </w:r>
          </w:p>
        </w:tc>
        <w:tc>
          <w:tcPr>
            <w:tcW w:w="2126" w:type="dxa"/>
            <w:tcBorders>
              <w:top w:val="nil"/>
              <w:left w:val="nil"/>
              <w:bottom w:val="single" w:sz="4" w:space="0" w:color="auto"/>
              <w:right w:val="single" w:sz="4" w:space="0" w:color="auto"/>
            </w:tcBorders>
            <w:noWrap/>
            <w:vAlign w:val="center"/>
            <w:hideMark/>
          </w:tcPr>
          <w:p w14:paraId="76BA8285" w14:textId="4826BA4E" w:rsidR="00913852" w:rsidRPr="00477691" w:rsidRDefault="00913852" w:rsidP="00913852">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38901</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w:t>
      </w:r>
      <w:proofErr w:type="spellStart"/>
      <w:r w:rsidR="00610C01" w:rsidRPr="00DF5928">
        <w:t>jednotarifního</w:t>
      </w:r>
      <w:proofErr w:type="spell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30070212"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0F787E">
        <w:t xml:space="preserve">RS Nové Město na Moravě – okres Žďár nad Sázavou, část okresu Brno-venkov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77777777" w:rsidR="00ED0684" w:rsidRDefault="00ED0684"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r w:rsidR="00754C76">
        <w:t>EG.D</w:t>
      </w:r>
      <w:r w:rsidRPr="00FD1FDF">
        <w:t>, a.s. je níže uvedená korespondenční adresa:</w:t>
      </w:r>
    </w:p>
    <w:p w14:paraId="6F49158E" w14:textId="6E043E48" w:rsidR="00A96372" w:rsidRDefault="00FD1FDF" w:rsidP="00A96372">
      <w:pPr>
        <w:pStyle w:val="Odstavecseseznamem"/>
        <w:ind w:left="426" w:firstLine="0"/>
      </w:pPr>
      <w:r w:rsidRPr="00FD1FDF">
        <w:rPr>
          <w:rFonts w:cs="Arial"/>
          <w:szCs w:val="20"/>
        </w:rPr>
        <w:t xml:space="preserve">EG.D,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150.000,- Kč. Pojištění bude zároveň obsahovat </w:t>
      </w:r>
      <w:proofErr w:type="spellStart"/>
      <w:r>
        <w:t>sublimit</w:t>
      </w:r>
      <w:proofErr w:type="spellEnd"/>
      <w:r>
        <w:t xml:space="preserve">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elektroměrů - Chammeleon</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55DD"/>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509F3"/>
    <w:rsid w:val="00754C76"/>
    <w:rsid w:val="007564DF"/>
    <w:rsid w:val="00760246"/>
    <w:rsid w:val="0077003D"/>
    <w:rsid w:val="0077466E"/>
    <w:rsid w:val="00777248"/>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3852"/>
    <w:rsid w:val="00916B9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4E00"/>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17F16-4033-4019-B37B-7F204BB5B9AA}">
  <ds:schemaRefs>
    <ds:schemaRef ds:uri="http://schemas.microsoft.com/sharepoint/v3/contenttype/forms"/>
  </ds:schemaRefs>
</ds:datastoreItem>
</file>

<file path=customXml/itemProps2.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4.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33</TotalTime>
  <Pages>21</Pages>
  <Words>9000</Words>
  <Characters>53103</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19</cp:revision>
  <cp:lastPrinted>2019-08-22T09:10:00Z</cp:lastPrinted>
  <dcterms:created xsi:type="dcterms:W3CDTF">2023-01-06T09:32:00Z</dcterms:created>
  <dcterms:modified xsi:type="dcterms:W3CDTF">2023-01-12T07:30:00Z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