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52A9" w14:textId="03A745B5" w:rsidR="00A95465" w:rsidRPr="00B469D1" w:rsidRDefault="00A95465" w:rsidP="00A95465">
      <w:pPr>
        <w:pStyle w:val="RLProhlensmluvnchstran"/>
        <w:spacing w:after="160"/>
        <w:rPr>
          <w:rFonts w:asciiTheme="minorHAnsi" w:hAnsiTheme="minorHAnsi" w:cstheme="minorHAnsi"/>
          <w:szCs w:val="22"/>
        </w:rPr>
      </w:pPr>
      <w:bookmarkStart w:id="0" w:name="Annex07"/>
      <w:proofErr w:type="gramStart"/>
      <w:r w:rsidRPr="00E44A8F">
        <w:rPr>
          <w:rFonts w:asciiTheme="minorHAnsi" w:hAnsiTheme="minorHAnsi" w:cstheme="minorHAnsi"/>
          <w:szCs w:val="22"/>
        </w:rPr>
        <w:t xml:space="preserve">Příloha  </w:t>
      </w:r>
      <w:bookmarkEnd w:id="0"/>
      <w:r w:rsidR="005205D3">
        <w:rPr>
          <w:rFonts w:asciiTheme="minorHAnsi" w:hAnsiTheme="minorHAnsi" w:cstheme="minorHAnsi"/>
          <w:szCs w:val="22"/>
        </w:rPr>
        <w:t>5</w:t>
      </w:r>
      <w:proofErr w:type="gramEnd"/>
      <w:r w:rsidR="00EB2BF9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EB2BF9">
        <w:rPr>
          <w:rFonts w:asciiTheme="minorHAnsi" w:hAnsiTheme="minorHAnsi" w:cstheme="minorHAnsi"/>
          <w:szCs w:val="22"/>
        </w:rPr>
        <w:t>SeS</w:t>
      </w:r>
      <w:proofErr w:type="spellEnd"/>
      <w:r w:rsidR="00EB2BF9">
        <w:rPr>
          <w:rFonts w:asciiTheme="minorHAnsi" w:hAnsiTheme="minorHAnsi" w:cstheme="minorHAnsi"/>
          <w:szCs w:val="22"/>
        </w:rPr>
        <w:t xml:space="preserve"> </w:t>
      </w:r>
      <w:r w:rsidR="008374E5">
        <w:rPr>
          <w:rFonts w:asciiTheme="minorHAnsi" w:hAnsiTheme="minorHAnsi" w:cstheme="minorHAnsi"/>
          <w:szCs w:val="22"/>
        </w:rPr>
        <w:t xml:space="preserve"> </w:t>
      </w:r>
    </w:p>
    <w:p w14:paraId="5542D36B" w14:textId="77777777" w:rsidR="008C0412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7FB58849" w14:textId="77777777" w:rsidR="008374E5" w:rsidRPr="006639F8" w:rsidRDefault="008374E5" w:rsidP="008374E5">
      <w:pPr>
        <w:ind w:left="720"/>
        <w:jc w:val="center"/>
        <w:rPr>
          <w:b/>
          <w:sz w:val="28"/>
          <w:lang w:val="sv-SE"/>
        </w:rPr>
      </w:pPr>
      <w:r w:rsidRPr="006639F8">
        <w:rPr>
          <w:rFonts w:cstheme="minorHAnsi"/>
          <w:highlight w:val="yellow"/>
          <w:lang w:val="sv-SE"/>
        </w:rPr>
        <w:t xml:space="preserve">[● </w:t>
      </w:r>
      <w:r>
        <w:rPr>
          <w:rFonts w:cstheme="minorHAnsi"/>
          <w:color w:val="0070C0"/>
          <w:highlight w:val="yellow"/>
          <w:lang w:val="sv-SE"/>
        </w:rPr>
        <w:t xml:space="preserve">BUDE UZAVŘENA s vybraným </w:t>
      </w:r>
      <w:r w:rsidR="00F012A5">
        <w:rPr>
          <w:rFonts w:cstheme="minorHAnsi"/>
          <w:color w:val="0070C0"/>
          <w:highlight w:val="yellow"/>
          <w:lang w:val="sv-SE"/>
        </w:rPr>
        <w:t xml:space="preserve">dodavatelem </w:t>
      </w:r>
      <w:r>
        <w:rPr>
          <w:rFonts w:cstheme="minorHAnsi"/>
          <w:color w:val="0070C0"/>
          <w:highlight w:val="yellow"/>
          <w:lang w:val="sv-SE"/>
        </w:rPr>
        <w:t xml:space="preserve">před podpisem rámcové dohody </w:t>
      </w:r>
      <w:r w:rsidR="00924457">
        <w:rPr>
          <w:rFonts w:cstheme="minorHAnsi"/>
          <w:color w:val="0070C0"/>
          <w:highlight w:val="yellow"/>
          <w:lang w:val="sv-SE"/>
        </w:rPr>
        <w:t xml:space="preserve">a </w:t>
      </w:r>
      <w:r>
        <w:rPr>
          <w:rFonts w:cstheme="minorHAnsi"/>
          <w:color w:val="0070C0"/>
          <w:highlight w:val="yellow"/>
          <w:lang w:val="sv-SE"/>
        </w:rPr>
        <w:t>servisní smlouvy</w:t>
      </w:r>
      <w:r w:rsidRPr="006639F8">
        <w:rPr>
          <w:rFonts w:cstheme="minorHAnsi"/>
          <w:highlight w:val="yellow"/>
          <w:lang w:val="sv-SE"/>
        </w:rPr>
        <w:t>]</w:t>
      </w:r>
    </w:p>
    <w:p w14:paraId="723A563F" w14:textId="77777777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430BA74C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311DE48E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62D5DC2C" w14:textId="77777777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416C73DA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78A5534D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79799A65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49250469" w14:textId="77777777" w:rsidR="00BF12D8" w:rsidRDefault="00427DC0" w:rsidP="00D319F3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D319F3" w:rsidRPr="00D319F3">
        <w:rPr>
          <w:rFonts w:asciiTheme="minorHAnsi" w:hAnsiTheme="minorHAnsi" w:cstheme="minorHAnsi"/>
          <w:szCs w:val="22"/>
        </w:rPr>
        <w:t xml:space="preserve">Pavlem Čadou, Ph.D., místopředsedou představenstva, Ing. Davidem Šafářem, členem </w:t>
      </w:r>
      <w:proofErr w:type="gramStart"/>
      <w:r w:rsidR="00D319F3" w:rsidRPr="00D319F3">
        <w:rPr>
          <w:rFonts w:asciiTheme="minorHAnsi" w:hAnsiTheme="minorHAnsi" w:cstheme="minorHAnsi"/>
          <w:szCs w:val="22"/>
        </w:rPr>
        <w:t>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Pr="00E41894">
        <w:rPr>
          <w:rFonts w:asciiTheme="minorHAnsi" w:hAnsiTheme="minorHAnsi" w:cstheme="minorHAnsi"/>
          <w:szCs w:val="22"/>
        </w:rPr>
        <w:t xml:space="preserve"> –</w:t>
      </w:r>
      <w:proofErr w:type="gramEnd"/>
      <w:r w:rsidRPr="00E41894">
        <w:rPr>
          <w:rFonts w:asciiTheme="minorHAnsi" w:hAnsiTheme="minorHAnsi" w:cstheme="minorHAnsi"/>
          <w:szCs w:val="22"/>
        </w:rPr>
        <w:t xml:space="preserve"> jako správce</w:t>
      </w:r>
    </w:p>
    <w:p w14:paraId="2C270364" w14:textId="77777777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6FB9E599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49AA095B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1B35BBC2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7770B0D4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93CAD6D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7D6048A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18790916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765E5A7E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1CC29B3F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0CA82F2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240E6D8F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588DD34D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53F00E55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3B62B928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55660B0C" w14:textId="77777777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46C2AB31" w14:textId="77777777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52E5CDB" w14:textId="77777777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4EAD002B" w14:textId="77777777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DEC5DD1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FD7FFDB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7F41BC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909A696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248816F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29A8153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7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C602CAF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09F261D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4861FFF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8863E0C" w14:textId="77777777" w:rsidR="00EB5987" w:rsidRPr="00E41894" w:rsidRDefault="00C4001E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301E5A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10725FA" w14:textId="77777777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6A48DCEE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085092FF" w14:textId="77777777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1" w:name="_Toc489512609"/>
      <w:bookmarkStart w:id="2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1"/>
      <w:bookmarkEnd w:id="2"/>
    </w:p>
    <w:p w14:paraId="1623EFC5" w14:textId="77777777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</w:t>
      </w:r>
      <w:r w:rsidRPr="00126AA2">
        <w:rPr>
          <w:rFonts w:asciiTheme="minorHAnsi" w:hAnsiTheme="minorHAnsi" w:cstheme="minorHAnsi"/>
          <w:lang w:val="cs-CZ"/>
        </w:rPr>
        <w:t>ámci plnění</w:t>
      </w:r>
      <w:r w:rsidR="00D16DE0" w:rsidRPr="00126AA2">
        <w:rPr>
          <w:rFonts w:asciiTheme="minorHAnsi" w:hAnsiTheme="minorHAnsi" w:cstheme="minorHAnsi"/>
          <w:lang w:val="cs-CZ"/>
        </w:rPr>
        <w:t xml:space="preserve"> smluv </w:t>
      </w:r>
      <w:r w:rsidR="00551B0F" w:rsidRPr="00126AA2">
        <w:rPr>
          <w:rFonts w:asciiTheme="minorHAnsi" w:hAnsiTheme="minorHAnsi" w:cstheme="minorHAnsi"/>
          <w:lang w:val="cs-CZ"/>
        </w:rPr>
        <w:t>jejichž předmětem je</w:t>
      </w:r>
      <w:r w:rsidR="005E179D" w:rsidRPr="00126AA2">
        <w:rPr>
          <w:rFonts w:asciiTheme="minorHAnsi" w:hAnsiTheme="minorHAnsi" w:cstheme="minorHAnsi"/>
          <w:lang w:val="cs-CZ"/>
        </w:rPr>
        <w:t xml:space="preserve"> </w:t>
      </w:r>
      <w:r w:rsidR="0021727B" w:rsidRPr="00126AA2">
        <w:rPr>
          <w:rFonts w:asciiTheme="minorHAnsi" w:hAnsiTheme="minorHAnsi" w:cstheme="minorHAnsi"/>
          <w:lang w:val="cs-CZ"/>
        </w:rPr>
        <w:t>dodávka</w:t>
      </w:r>
      <w:r w:rsidR="00941A9B">
        <w:rPr>
          <w:rFonts w:asciiTheme="minorHAnsi" w:hAnsiTheme="minorHAnsi" w:cstheme="minorHAnsi"/>
          <w:lang w:val="cs-CZ"/>
        </w:rPr>
        <w:t xml:space="preserve"> </w:t>
      </w:r>
      <w:r w:rsidR="00DD3E66" w:rsidRPr="00DD3E66">
        <w:rPr>
          <w:rFonts w:asciiTheme="minorHAnsi" w:hAnsiTheme="minorHAnsi" w:cstheme="minorHAnsi"/>
          <w:lang w:val="cs-CZ"/>
        </w:rPr>
        <w:t>RTU a senzorové techniky pro Smart DTS, jejich parametrizace, nastavení a systémová integrace formou předem dodané konfigurace nebo v případě potřeby zajištěním přímo na místě realizace stavby (dále jen „</w:t>
      </w:r>
      <w:r w:rsidR="00924457">
        <w:rPr>
          <w:rFonts w:asciiTheme="minorHAnsi" w:hAnsiTheme="minorHAnsi" w:cstheme="minorHAnsi"/>
          <w:lang w:val="cs-CZ"/>
        </w:rPr>
        <w:t>Rámcová dohoda</w:t>
      </w:r>
      <w:r w:rsidR="00DD3E66" w:rsidRPr="00DD3E66">
        <w:rPr>
          <w:rFonts w:asciiTheme="minorHAnsi" w:hAnsiTheme="minorHAnsi" w:cstheme="minorHAnsi"/>
          <w:lang w:val="cs-CZ"/>
        </w:rPr>
        <w:t>“)</w:t>
      </w:r>
      <w:r w:rsidR="00941A9B">
        <w:rPr>
          <w:rFonts w:asciiTheme="minorHAnsi" w:hAnsiTheme="minorHAnsi" w:cstheme="minorHAnsi"/>
          <w:lang w:val="cs-CZ"/>
        </w:rPr>
        <w:t xml:space="preserve"> a servisní služby v rámci záruční a pozáruční doby</w:t>
      </w:r>
      <w:r w:rsidR="00924457">
        <w:rPr>
          <w:rFonts w:asciiTheme="minorHAnsi" w:hAnsiTheme="minorHAnsi" w:cstheme="minorHAnsi"/>
          <w:lang w:val="cs-CZ"/>
        </w:rPr>
        <w:t xml:space="preserve"> (dále jen „Servisní smlouva“)</w:t>
      </w:r>
      <w:r w:rsidR="00551B0F" w:rsidRPr="00126AA2">
        <w:rPr>
          <w:rFonts w:asciiTheme="minorHAnsi" w:hAnsiTheme="minorHAnsi" w:cstheme="minorHAnsi"/>
          <w:lang w:val="cs-CZ"/>
        </w:rPr>
        <w:t>, které byl</w:t>
      </w:r>
      <w:r w:rsidR="00126AA2" w:rsidRPr="00126AA2">
        <w:rPr>
          <w:rFonts w:asciiTheme="minorHAnsi" w:hAnsiTheme="minorHAnsi" w:cstheme="minorHAnsi"/>
          <w:lang w:val="cs-CZ"/>
        </w:rPr>
        <w:t>y</w:t>
      </w:r>
      <w:r w:rsidR="00551B0F" w:rsidRPr="00126AA2">
        <w:rPr>
          <w:rFonts w:asciiTheme="minorHAnsi" w:hAnsiTheme="minorHAnsi" w:cstheme="minorHAnsi"/>
          <w:lang w:val="cs-CZ"/>
        </w:rPr>
        <w:t xml:space="preserve"> me</w:t>
      </w:r>
      <w:r w:rsidR="00551B0F" w:rsidRPr="00E41894">
        <w:rPr>
          <w:rFonts w:asciiTheme="minorHAnsi" w:hAnsiTheme="minorHAnsi" w:cstheme="minorHAnsi"/>
          <w:lang w:val="cs-CZ"/>
        </w:rPr>
        <w:t xml:space="preserve">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</w:t>
      </w:r>
      <w:r w:rsidR="00C57FE8">
        <w:rPr>
          <w:rFonts w:asciiTheme="minorHAnsi" w:hAnsiTheme="minorHAnsi" w:cstheme="minorHAnsi"/>
          <w:lang w:val="cs-CZ"/>
        </w:rPr>
        <w:t>„</w:t>
      </w:r>
      <w:r w:rsidR="00924457">
        <w:rPr>
          <w:rFonts w:asciiTheme="minorHAnsi" w:hAnsiTheme="minorHAnsi" w:cstheme="minorHAnsi"/>
          <w:lang w:val="cs-CZ"/>
        </w:rPr>
        <w:t xml:space="preserve">Věcná </w:t>
      </w:r>
      <w:r w:rsidR="00C57FE8">
        <w:rPr>
          <w:rFonts w:asciiTheme="minorHAnsi" w:hAnsiTheme="minorHAnsi" w:cstheme="minorHAnsi"/>
          <w:lang w:val="cs-CZ"/>
        </w:rPr>
        <w:t>smlouv</w:t>
      </w:r>
      <w:r w:rsidR="00924457">
        <w:rPr>
          <w:rFonts w:asciiTheme="minorHAnsi" w:hAnsiTheme="minorHAnsi" w:cstheme="minorHAnsi"/>
          <w:lang w:val="cs-CZ"/>
        </w:rPr>
        <w:t>a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</w:t>
      </w:r>
      <w:r w:rsidR="00445CE1">
        <w:rPr>
          <w:rFonts w:asciiTheme="minorHAnsi" w:hAnsiTheme="minorHAnsi" w:cstheme="minorHAnsi"/>
          <w:lang w:val="cs-CZ"/>
        </w:rPr>
        <w:t>pod</w:t>
      </w:r>
      <w:r w:rsidR="00445CE1" w:rsidRPr="00E41894">
        <w:rPr>
          <w:rFonts w:asciiTheme="minorHAnsi" w:hAnsiTheme="minorHAnsi" w:cstheme="minorHAnsi"/>
          <w:lang w:val="cs-CZ"/>
        </w:rPr>
        <w:t>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7BB215B4" w14:textId="77777777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79F7A2FB" w14:textId="77777777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2C347C7C" w14:textId="77777777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3" w:name="_Toc489512610"/>
      <w:bookmarkStart w:id="4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3"/>
      <w:bookmarkEnd w:id="4"/>
    </w:p>
    <w:p w14:paraId="749859EA" w14:textId="77777777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</w:t>
      </w:r>
      <w:r w:rsidR="00924457">
        <w:rPr>
          <w:rFonts w:asciiTheme="minorHAnsi" w:hAnsiTheme="minorHAnsi" w:cstheme="minorHAnsi"/>
          <w:lang w:val="cs-CZ"/>
        </w:rPr>
        <w:t xml:space="preserve"> Věcné</w:t>
      </w:r>
      <w:r w:rsidR="00F47F98" w:rsidRPr="00E41894">
        <w:rPr>
          <w:rFonts w:asciiTheme="minorHAnsi" w:hAnsiTheme="minorHAnsi" w:cstheme="minorHAnsi"/>
          <w:lang w:val="cs-CZ"/>
        </w:rPr>
        <w:t> </w:t>
      </w:r>
      <w:r w:rsidR="00924457" w:rsidRPr="00924457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383CA072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610B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05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E08E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126AA2" w14:paraId="31A26C02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0ECF" w14:textId="77777777" w:rsidR="00941A9B" w:rsidRDefault="00941A9B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>
              <w:rPr>
                <w:lang w:val="cs-CZ"/>
              </w:rPr>
              <w:t>Zaměstnanci Objednatele</w:t>
            </w:r>
          </w:p>
          <w:p w14:paraId="3018C310" w14:textId="77777777" w:rsidR="00941A9B" w:rsidRDefault="00941A9B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</w:p>
          <w:p w14:paraId="41000891" w14:textId="77777777" w:rsidR="00333140" w:rsidRPr="00A95465" w:rsidRDefault="00126AA2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highlight w:val="yellow"/>
                <w:lang w:val="cs-CZ"/>
              </w:rPr>
            </w:pPr>
            <w:r>
              <w:rPr>
                <w:lang w:val="cs-CZ"/>
              </w:rPr>
              <w:t>Zákazníci Objednatele/ Potenciální zákazníci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6EA7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Identifikační údaje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1D82DD8D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 xml:space="preserve">jméno a příjmení / telefon / mobilní telefon / emailová adresa </w:t>
            </w:r>
          </w:p>
          <w:p w14:paraId="407A3EBE" w14:textId="77777777" w:rsid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</w:p>
          <w:p w14:paraId="2CC5D4AB" w14:textId="77777777" w:rsidR="0023220B" w:rsidRDefault="0023220B" w:rsidP="0023220B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Personální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3C7C6F33" w14:textId="77777777" w:rsidR="0023220B" w:rsidRDefault="0023220B" w:rsidP="0023220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osobní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organizaci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zaměstnance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telefon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mobilní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telefon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fax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email</w:t>
            </w:r>
            <w:proofErr w:type="gramEnd"/>
            <w:r>
              <w:rPr>
                <w:color w:val="000000"/>
              </w:rPr>
              <w:t xml:space="preserve">) / </w:t>
            </w:r>
            <w:proofErr w:type="spellStart"/>
            <w:r>
              <w:rPr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umístění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zaměstnance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budovy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ulice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město</w:t>
            </w:r>
            <w:proofErr w:type="spellEnd"/>
            <w:r>
              <w:rPr>
                <w:color w:val="000000"/>
              </w:rPr>
              <w:t xml:space="preserve">, PSČ) / </w:t>
            </w:r>
            <w:proofErr w:type="spellStart"/>
            <w:r>
              <w:rPr>
                <w:color w:val="000000"/>
              </w:rPr>
              <w:t>interní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bezpečnostní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identifikační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skupiny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identifikační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zaměstnance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osvědčení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přístupová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práva</w:t>
            </w:r>
            <w:proofErr w:type="spellEnd"/>
            <w:r>
              <w:rPr>
                <w:color w:val="000000"/>
              </w:rPr>
              <w:t xml:space="preserve">) / </w:t>
            </w:r>
            <w:proofErr w:type="spellStart"/>
            <w:r>
              <w:rPr>
                <w:color w:val="000000"/>
              </w:rPr>
              <w:t>oddělení</w:t>
            </w:r>
            <w:proofErr w:type="spellEnd"/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role</w:t>
            </w:r>
            <w:proofErr w:type="spellEnd"/>
          </w:p>
          <w:p w14:paraId="0CC2D185" w14:textId="77777777" w:rsidR="0023220B" w:rsidRDefault="0023220B" w:rsidP="0023220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</w:p>
          <w:p w14:paraId="28EC9490" w14:textId="77777777" w:rsidR="0023220B" w:rsidRPr="00126AA2" w:rsidRDefault="0023220B" w:rsidP="0023220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</w:p>
          <w:p w14:paraId="170C2976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lastRenderedPageBreak/>
              <w:t>Osobní údaje vyplývající z používání konkrétní služby</w:t>
            </w:r>
          </w:p>
          <w:p w14:paraId="489F62D7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Cs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>parametry smluv / údaje z měřičů / identifikační čísla</w:t>
            </w:r>
            <w:r w:rsidR="00D968D9">
              <w:rPr>
                <w:iCs/>
                <w:color w:val="000000"/>
                <w:lang w:val="cs-CZ"/>
              </w:rPr>
              <w:t xml:space="preserve"> </w:t>
            </w:r>
            <w:r w:rsidRPr="00126AA2">
              <w:rPr>
                <w:iCs/>
                <w:lang w:val="cs-CZ"/>
              </w:rPr>
              <w:t>/ adresa odběrného místa / údaje o technických parametrech a o stavu odběrného místa</w:t>
            </w:r>
          </w:p>
          <w:p w14:paraId="259FBD2E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56D6" w14:textId="77777777" w:rsidR="009664BA" w:rsidRDefault="00941A9B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zákonných povinností </w:t>
            </w:r>
          </w:p>
          <w:p w14:paraId="58F55ABC" w14:textId="77777777" w:rsidR="00941A9B" w:rsidRDefault="00941A9B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Provozní potřeby</w:t>
            </w:r>
          </w:p>
          <w:p w14:paraId="57A6B609" w14:textId="77777777" w:rsidR="00941A9B" w:rsidRPr="00E41894" w:rsidRDefault="00941A9B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Příprava, uzavření a plnění smlouvy se zákazníkem </w:t>
            </w:r>
          </w:p>
        </w:tc>
      </w:tr>
    </w:tbl>
    <w:p w14:paraId="3F16626B" w14:textId="77777777" w:rsidR="00126AA2" w:rsidRDefault="00126AA2" w:rsidP="00126AA2">
      <w:pPr>
        <w:pStyle w:val="-Absatz"/>
        <w:suppressAutoHyphens/>
        <w:rPr>
          <w:rFonts w:asciiTheme="minorHAnsi" w:hAnsiTheme="minorHAnsi" w:cstheme="minorHAnsi"/>
          <w:lang w:val="cs-CZ"/>
        </w:rPr>
      </w:pPr>
      <w:bookmarkStart w:id="5" w:name="_Toc489512611"/>
      <w:bookmarkStart w:id="6" w:name="_Toc534876759"/>
      <w:r w:rsidRPr="00126AA2">
        <w:rPr>
          <w:rFonts w:asciiTheme="minorHAnsi" w:hAnsiTheme="minorHAnsi" w:cstheme="minorHAnsi"/>
          <w:lang w:val="cs-CZ"/>
        </w:rPr>
        <w:t xml:space="preserve">Doba platnosti této </w:t>
      </w:r>
      <w:r w:rsidR="00DD3E66">
        <w:rPr>
          <w:rFonts w:asciiTheme="minorHAnsi" w:hAnsiTheme="minorHAnsi" w:cstheme="minorHAnsi"/>
          <w:lang w:val="cs-CZ"/>
        </w:rPr>
        <w:t>S</w:t>
      </w:r>
      <w:r w:rsidRPr="00126AA2">
        <w:rPr>
          <w:rFonts w:asciiTheme="minorHAnsi" w:hAnsiTheme="minorHAnsi" w:cstheme="minorHAnsi"/>
          <w:lang w:val="cs-CZ"/>
        </w:rPr>
        <w:t xml:space="preserve">mlouvy je určena dobou platnosti </w:t>
      </w:r>
      <w:r>
        <w:rPr>
          <w:rFonts w:asciiTheme="minorHAnsi" w:hAnsiTheme="minorHAnsi" w:cstheme="minorHAnsi"/>
          <w:lang w:val="cs-CZ"/>
        </w:rPr>
        <w:t>smluv</w:t>
      </w:r>
      <w:r w:rsidRPr="00126AA2">
        <w:rPr>
          <w:rFonts w:asciiTheme="minorHAnsi" w:hAnsiTheme="minorHAnsi" w:cstheme="minorHAnsi"/>
          <w:lang w:val="cs-CZ"/>
        </w:rPr>
        <w:t xml:space="preserve">, pokud dále z této </w:t>
      </w:r>
      <w:r w:rsidR="00DD3E66">
        <w:rPr>
          <w:rFonts w:asciiTheme="minorHAnsi" w:hAnsiTheme="minorHAnsi" w:cstheme="minorHAnsi"/>
          <w:lang w:val="cs-CZ"/>
        </w:rPr>
        <w:t>S</w:t>
      </w:r>
      <w:r w:rsidRPr="00126AA2">
        <w:rPr>
          <w:rFonts w:asciiTheme="minorHAnsi" w:hAnsiTheme="minorHAnsi" w:cstheme="minorHAnsi"/>
          <w:lang w:val="cs-CZ"/>
        </w:rPr>
        <w:t>mlouvy nevyplývá jinak.</w:t>
      </w:r>
    </w:p>
    <w:p w14:paraId="58CA669B" w14:textId="77777777" w:rsidR="00126AA2" w:rsidRDefault="00126AA2" w:rsidP="00126AA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 xml:space="preserve">Zhotovitel </w:t>
      </w:r>
      <w:r>
        <w:rPr>
          <w:lang w:val="cs-CZ"/>
        </w:rPr>
        <w:t xml:space="preserve">se zavazuje </w:t>
      </w:r>
      <w:r w:rsidRPr="00A24106">
        <w:rPr>
          <w:lang w:val="cs-CZ"/>
        </w:rPr>
        <w:t>osobní údaje zpracovávat v elektronické i písemné podobě.</w:t>
      </w:r>
      <w:r w:rsidRPr="00750E22" w:rsidDel="000A38DE">
        <w:rPr>
          <w:lang w:val="cs-CZ"/>
        </w:rPr>
        <w:t xml:space="preserve"> </w:t>
      </w:r>
    </w:p>
    <w:p w14:paraId="67CF29F0" w14:textId="77777777" w:rsidR="00126AA2" w:rsidRPr="00126AA2" w:rsidRDefault="00126AA2" w:rsidP="00126AA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FC3112">
        <w:rPr>
          <w:lang w:val="cs-CZ"/>
        </w:rPr>
        <w:t>Objednatel bude předávat Zhotoviteli osobní údaje o subjektech údajů, buď elektronicky nebo v písemné podobě. V případě elektronického předání osobních údajů zajistí Zhotovitel jejich vytištění a souběžné smazání elektronických dat. Dále bude zhotovitel zpracovávat osobní údaje pouze v listinné písemné podobě.</w:t>
      </w:r>
    </w:p>
    <w:p w14:paraId="1188D008" w14:textId="77777777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5"/>
      <w:bookmarkEnd w:id="6"/>
    </w:p>
    <w:p w14:paraId="48A16F57" w14:textId="77777777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74392B6D" w14:textId="77777777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</w:t>
      </w:r>
      <w:r w:rsidR="00B80649" w:rsidRPr="00924457">
        <w:rPr>
          <w:rFonts w:asciiTheme="minorHAnsi" w:hAnsiTheme="minorHAnsi" w:cstheme="minorHAnsi"/>
          <w:lang w:val="cs-CZ"/>
        </w:rPr>
        <w:t>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5043F819" w14:textId="77777777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5A91A887" w14:textId="77777777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20FB2DE5" w14:textId="77777777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5F1C5E6A" w14:textId="7777777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5E5EF980" w14:textId="77777777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7C967A0A" w14:textId="77777777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33D4C9F8" w14:textId="77777777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7" w:name="_Toc489512612"/>
      <w:bookmarkStart w:id="8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7"/>
      <w:bookmarkEnd w:id="8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0554FE26" w14:textId="77777777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A69D1F" w14:textId="77777777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</w:t>
      </w:r>
      <w:r w:rsidR="00941A9B" w:rsidRPr="00D5279B">
        <w:rPr>
          <w:rFonts w:asciiTheme="minorHAnsi" w:hAnsiTheme="minorHAnsi" w:cstheme="minorHAnsi"/>
          <w:lang w:val="cs-CZ"/>
        </w:rPr>
        <w:t>v příloze „Požadavky na bezpečnost informací a Technická a organizační opatření k ochraně údajů pro úroveň střední“ dokumentu Všeobecných nákupních podmínek společnosti E.ON Czech, na který odkazuje bod 2.6. Servisní smlouvy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1AE67346" w14:textId="7777777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5E10313" w14:textId="77777777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743F9DAE" w14:textId="77777777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47911BBD" w14:textId="7777777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24E2017F" w14:textId="77777777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0D6024D4" w14:textId="77777777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9" w:name="_Toc489512613"/>
      <w:bookmarkStart w:id="10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9"/>
      <w:bookmarkEnd w:id="10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3C719BA1" w14:textId="7777777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D6C3552" w14:textId="77777777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6B466FB7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 xml:space="preserve">smlouvu na straně Objednatele, musí Zhotovitel bez zbytečného odkladu odevzdat všechny dokumenty, které obdrží, vytvořené výsledky zpracování a užívání a záznamy údajů související se vztahem </w:t>
      </w:r>
      <w:r w:rsidRPr="00E41894">
        <w:rPr>
          <w:rFonts w:asciiTheme="minorHAnsi" w:hAnsiTheme="minorHAnsi" w:cstheme="minorHAnsi"/>
          <w:lang w:val="cs-CZ"/>
        </w:rPr>
        <w:lastRenderedPageBreak/>
        <w:t>k Objednateli, v souladu s doloženým pokynem takové osoby nebo v souladu s požadavky na výmaz údajů a po ukončení Zpracování údajů.</w:t>
      </w:r>
    </w:p>
    <w:p w14:paraId="0838B319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3B840D" w14:textId="77777777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045A284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A7879D9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0AE746C9" w14:textId="77777777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1" w:name="_Toc489512614"/>
      <w:bookmarkStart w:id="12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1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2"/>
    </w:p>
    <w:p w14:paraId="65935566" w14:textId="77777777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4015BA" w14:textId="7777777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158E5B16" w14:textId="7777777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11491EA8" w14:textId="7777777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D29C755" w14:textId="77777777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 není oprávněn zpřístupnit jakékoliv osobní údaje třetím osobám nebo je používat pro vlastní potřebu, zejména pro marketingové účely.</w:t>
      </w:r>
    </w:p>
    <w:p w14:paraId="06D0D97B" w14:textId="77777777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3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3"/>
    </w:p>
    <w:p w14:paraId="1533EFBF" w14:textId="77777777" w:rsidR="004F7BCF" w:rsidRPr="00E41894" w:rsidRDefault="00C4001E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04811E60" w14:textId="77777777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876EDE3" w14:textId="77777777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35911354" w14:textId="77777777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199F4CA4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0F4C023A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FE2BF5" w14:textId="77777777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EE93B62" w14:textId="77777777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1497EF4D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23C42881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375293F0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6022511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4B54F6EF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15920F1C" w14:textId="77777777" w:rsidR="00361330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1F5A684F" w14:textId="77777777" w:rsidR="00361330" w:rsidRDefault="00361330">
      <w:pPr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br w:type="page"/>
      </w:r>
    </w:p>
    <w:p w14:paraId="6A606EF2" w14:textId="77777777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4" w:name="_Toc489512615"/>
      <w:bookmarkStart w:id="15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4"/>
      <w:bookmarkEnd w:id="15"/>
    </w:p>
    <w:p w14:paraId="108D285D" w14:textId="77777777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924457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924457">
        <w:rPr>
          <w:rFonts w:asciiTheme="minorHAnsi" w:hAnsiTheme="minorHAnsi" w:cstheme="minorHAnsi"/>
          <w:lang w:val="cs-CZ"/>
        </w:rPr>
        <w:t>Věcné</w:t>
      </w:r>
      <w:r w:rsidR="00641ED3" w:rsidRPr="00924457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2522139" w14:textId="77777777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73D14C57" w14:textId="77777777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F6A8E21" w14:textId="77777777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75DB70CF" w14:textId="77777777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6" w:name="_Toc534876764"/>
      <w:bookmarkStart w:id="17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6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7"/>
    </w:p>
    <w:p w14:paraId="7E83B9D2" w14:textId="77777777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1E7C9A9D" w14:textId="7777777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924457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2D442D1D" w14:textId="77777777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8" w:name="_Toc489512617"/>
      <w:bookmarkStart w:id="19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8"/>
      <w:bookmarkEnd w:id="19"/>
    </w:p>
    <w:p w14:paraId="2B836E3B" w14:textId="77777777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20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</w:t>
      </w:r>
      <w:r w:rsidR="00090DAC" w:rsidRPr="00E41894">
        <w:rPr>
          <w:rFonts w:asciiTheme="minorHAnsi" w:hAnsiTheme="minorHAnsi" w:cstheme="minorHAnsi"/>
          <w:lang w:val="cs-CZ"/>
        </w:rPr>
        <w:lastRenderedPageBreak/>
        <w:t>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20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C2885DA" w14:textId="77777777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69A3F3C7" w14:textId="77777777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51CC1599" w14:textId="77777777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1D657589" w14:textId="77777777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85AD246" w14:textId="77777777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1"/>
    </w:p>
    <w:p w14:paraId="2F41A88A" w14:textId="77777777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04EB7933" w14:textId="77777777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58953C71" w14:textId="77777777" w:rsidR="001172E9" w:rsidRPr="0055438C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em podle této Smlouvy, nebo dojde k neoprávněnému zpracování, změně, ztrátě nebo jinému zneužití osobních údajů (např. v případě použití osobních údajů pro jiný ne</w:t>
      </w:r>
      <w:r w:rsidRPr="0055438C">
        <w:rPr>
          <w:rFonts w:asciiTheme="minorHAnsi" w:hAnsiTheme="minorHAnsi" w:cstheme="minorHAnsi"/>
          <w:lang w:val="cs-CZ"/>
        </w:rPr>
        <w:t xml:space="preserve">ž sjednaný účel) nebo k jinému porušení povinnosti </w:t>
      </w:r>
      <w:r w:rsidR="002E2985" w:rsidRPr="0055438C">
        <w:rPr>
          <w:rFonts w:asciiTheme="minorHAnsi" w:hAnsiTheme="minorHAnsi" w:cstheme="minorHAnsi"/>
          <w:lang w:val="cs-CZ"/>
        </w:rPr>
        <w:t>Zhotovitel</w:t>
      </w:r>
      <w:r w:rsidRPr="0055438C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55438C">
        <w:rPr>
          <w:rFonts w:asciiTheme="minorHAnsi" w:hAnsiTheme="minorHAnsi" w:cstheme="minorHAnsi"/>
          <w:lang w:val="cs-CZ"/>
        </w:rPr>
        <w:t>Zhotovitel</w:t>
      </w:r>
      <w:r w:rsidRPr="0055438C">
        <w:rPr>
          <w:rFonts w:asciiTheme="minorHAnsi" w:hAnsiTheme="minorHAnsi" w:cstheme="minorHAnsi"/>
          <w:lang w:val="cs-CZ"/>
        </w:rPr>
        <w:t xml:space="preserve"> uhradí </w:t>
      </w:r>
      <w:r w:rsidR="00124D3E" w:rsidRPr="0055438C">
        <w:rPr>
          <w:rFonts w:asciiTheme="minorHAnsi" w:hAnsiTheme="minorHAnsi" w:cstheme="minorHAnsi"/>
          <w:lang w:val="cs-CZ"/>
        </w:rPr>
        <w:t>Objednatel</w:t>
      </w:r>
      <w:r w:rsidRPr="0055438C">
        <w:rPr>
          <w:rFonts w:asciiTheme="minorHAnsi" w:hAnsiTheme="minorHAnsi" w:cstheme="minorHAnsi"/>
          <w:lang w:val="cs-CZ"/>
        </w:rPr>
        <w:t>i smluvní pokutu ve výši</w:t>
      </w:r>
      <w:r w:rsidR="00983AFC" w:rsidRPr="0055438C">
        <w:rPr>
          <w:rFonts w:asciiTheme="minorHAnsi" w:hAnsiTheme="minorHAnsi" w:cstheme="minorHAnsi"/>
          <w:lang w:val="cs-CZ"/>
        </w:rPr>
        <w:t xml:space="preserve"> </w:t>
      </w:r>
      <w:r w:rsidR="0055438C" w:rsidRPr="0055438C">
        <w:rPr>
          <w:rFonts w:asciiTheme="minorHAnsi" w:hAnsiTheme="minorHAnsi" w:cstheme="minorHAnsi"/>
          <w:lang w:val="cs-CZ"/>
        </w:rPr>
        <w:t>1.0</w:t>
      </w:r>
      <w:r w:rsidR="00983AFC" w:rsidRPr="0055438C">
        <w:rPr>
          <w:rFonts w:asciiTheme="minorHAnsi" w:hAnsiTheme="minorHAnsi" w:cstheme="minorHAnsi"/>
          <w:lang w:val="cs-CZ"/>
        </w:rPr>
        <w:t>00</w:t>
      </w:r>
      <w:r w:rsidR="0055438C" w:rsidRPr="0055438C">
        <w:rPr>
          <w:rFonts w:asciiTheme="minorHAnsi" w:hAnsiTheme="minorHAnsi" w:cstheme="minorHAnsi"/>
          <w:lang w:val="cs-CZ"/>
        </w:rPr>
        <w:t>.</w:t>
      </w:r>
      <w:r w:rsidR="00983AFC" w:rsidRPr="0055438C">
        <w:rPr>
          <w:rFonts w:asciiTheme="minorHAnsi" w:hAnsiTheme="minorHAnsi" w:cstheme="minorHAnsi"/>
          <w:lang w:val="cs-CZ"/>
        </w:rPr>
        <w:t xml:space="preserve">000,- </w:t>
      </w:r>
      <w:r w:rsidRPr="0055438C">
        <w:rPr>
          <w:rFonts w:asciiTheme="minorHAnsi" w:hAnsiTheme="minorHAnsi" w:cstheme="minorHAnsi"/>
          <w:lang w:val="cs-CZ"/>
        </w:rPr>
        <w:t xml:space="preserve"> Kč</w:t>
      </w:r>
      <w:r w:rsidR="00ED4622" w:rsidRPr="0055438C">
        <w:rPr>
          <w:rFonts w:asciiTheme="minorHAnsi" w:hAnsiTheme="minorHAnsi" w:cstheme="minorHAnsi"/>
          <w:lang w:val="cs-CZ"/>
        </w:rPr>
        <w:t>,</w:t>
      </w:r>
      <w:r w:rsidRPr="0055438C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55438C">
        <w:rPr>
          <w:rFonts w:asciiTheme="minorHAnsi" w:hAnsiTheme="minorHAnsi" w:cstheme="minorHAnsi"/>
          <w:lang w:val="cs-CZ"/>
        </w:rPr>
        <w:t xml:space="preserve">Úhradou </w:t>
      </w:r>
      <w:r w:rsidRPr="0055438C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55438C">
        <w:rPr>
          <w:rFonts w:asciiTheme="minorHAnsi" w:hAnsiTheme="minorHAnsi" w:cstheme="minorHAnsi"/>
          <w:lang w:val="cs-CZ"/>
        </w:rPr>
        <w:t>Objednatel</w:t>
      </w:r>
      <w:r w:rsidRPr="0055438C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703CAD9D" w14:textId="77777777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55438C">
        <w:rPr>
          <w:rFonts w:asciiTheme="minorHAnsi" w:hAnsiTheme="minorHAnsi" w:cstheme="minorHAnsi"/>
          <w:lang w:val="cs-CZ"/>
        </w:rPr>
        <w:t>Ujednáním smluvních pokut dle této Sm</w:t>
      </w:r>
      <w:r w:rsidRPr="00E41894">
        <w:rPr>
          <w:rFonts w:asciiTheme="minorHAnsi" w:hAnsiTheme="minorHAnsi" w:cstheme="minorHAnsi"/>
          <w:lang w:val="cs-CZ"/>
        </w:rPr>
        <w:t xml:space="preserve">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2DD55D2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03247CF" w14:textId="77777777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2" w:name="_Toc489512619"/>
      <w:bookmarkStart w:id="23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2"/>
      <w:bookmarkEnd w:id="23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03F9A6F8" w14:textId="7777777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 xml:space="preserve">je zahrnuta do odměny poskytované Zhotoviteli v rámci </w:t>
      </w:r>
      <w:r w:rsidR="00552A56" w:rsidRPr="00924457">
        <w:rPr>
          <w:rFonts w:asciiTheme="minorHAnsi" w:hAnsiTheme="minorHAnsi" w:cstheme="minorHAnsi"/>
          <w:lang w:val="cs-CZ"/>
        </w:rPr>
        <w:t>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1B87389C" w14:textId="7777777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D937B36" w14:textId="77777777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0DEA857C" w14:textId="77777777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90FA8BB" w14:textId="77777777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8C90119" w14:textId="77777777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023BFCF8" w14:textId="77777777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52646440" w14:textId="77777777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7066C0E5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3969"/>
      </w:tblGrid>
      <w:tr w:rsidR="00DD3E66" w:rsidRPr="004B7FB6" w14:paraId="51AF4305" w14:textId="77777777" w:rsidTr="0014792A">
        <w:trPr>
          <w:trHeight w:val="238"/>
        </w:trPr>
        <w:tc>
          <w:tcPr>
            <w:tcW w:w="3969" w:type="dxa"/>
          </w:tcPr>
          <w:p w14:paraId="3102F346" w14:textId="77777777" w:rsidR="00DD3E66" w:rsidRDefault="00DD3E66" w:rsidP="0014792A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Objednatel</w:t>
            </w:r>
          </w:p>
          <w:p w14:paraId="593B956D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DE05DFF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0382F2F5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DE6868"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DD3E66" w:rsidRPr="004B7FB6" w14:paraId="5A6D6CA4" w14:textId="77777777" w:rsidTr="0014792A">
        <w:tc>
          <w:tcPr>
            <w:tcW w:w="3969" w:type="dxa"/>
            <w:tcBorders>
              <w:bottom w:val="single" w:sz="4" w:space="0" w:color="auto"/>
            </w:tcBorders>
          </w:tcPr>
          <w:p w14:paraId="4BAB027D" w14:textId="77777777" w:rsidR="00DD3E66" w:rsidRDefault="00DD3E66" w:rsidP="0014792A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 ………</w:t>
            </w:r>
            <w:proofErr w:type="gramStart"/>
            <w:r>
              <w:rPr>
                <w:rFonts w:asciiTheme="minorHAnsi" w:hAnsiTheme="minorHAnsi"/>
              </w:rPr>
              <w:t>…….</w:t>
            </w:r>
            <w:proofErr w:type="gramEnd"/>
            <w:r>
              <w:rPr>
                <w:rFonts w:asciiTheme="minorHAnsi" w:hAnsiTheme="minorHAnsi"/>
              </w:rPr>
              <w:t xml:space="preserve">. dne </w:t>
            </w:r>
          </w:p>
          <w:p w14:paraId="7A8B4FEC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D85FAC2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27F1BF37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0041798D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AE0BE28" w14:textId="77777777" w:rsidR="00DD3E66" w:rsidRDefault="00DD3E66" w:rsidP="0014792A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 ………………………. dne</w:t>
            </w:r>
          </w:p>
          <w:p w14:paraId="4AEBFD9E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DD3E66" w:rsidRPr="00680506" w14:paraId="5B1CC919" w14:textId="77777777" w:rsidTr="0014792A">
        <w:tc>
          <w:tcPr>
            <w:tcW w:w="3969" w:type="dxa"/>
            <w:tcBorders>
              <w:top w:val="single" w:sz="4" w:space="0" w:color="auto"/>
            </w:tcBorders>
          </w:tcPr>
          <w:p w14:paraId="32EDAC0A" w14:textId="77777777" w:rsidR="00DD3E66" w:rsidRDefault="00DD3E66" w:rsidP="0014792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62EDDB04" w14:textId="77777777" w:rsidR="00DD3E66" w:rsidRDefault="00DD3E66" w:rsidP="0014792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59F80B0F" w14:textId="77777777" w:rsidR="00DD3E66" w:rsidRDefault="00DD3E66" w:rsidP="0014792A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BCD19CA" w14:textId="77777777" w:rsidR="00DD3E66" w:rsidRPr="00593571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Theme="minorHAnsi" w:hAnsiTheme="minorHAnsi"/>
                <w:highlight w:val="yellow"/>
                <w:lang w:val="sv-SE"/>
              </w:rPr>
            </w:pPr>
          </w:p>
        </w:tc>
        <w:tc>
          <w:tcPr>
            <w:tcW w:w="851" w:type="dxa"/>
          </w:tcPr>
          <w:p w14:paraId="26631DF8" w14:textId="77777777" w:rsidR="00DD3E66" w:rsidRPr="004B7FB6" w:rsidRDefault="00DD3E66" w:rsidP="0014792A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38186CA" w14:textId="77777777" w:rsidR="00DD3E66" w:rsidRPr="00680506" w:rsidRDefault="00DD3E66" w:rsidP="0014792A">
            <w:pPr>
              <w:tabs>
                <w:tab w:val="left" w:pos="567"/>
              </w:tabs>
              <w:suppressAutoHyphens/>
              <w:spacing w:before="0" w:after="0" w:line="240" w:lineRule="auto"/>
              <w:jc w:val="center"/>
              <w:rPr>
                <w:rFonts w:asciiTheme="minorHAnsi" w:hAnsiTheme="minorHAnsi"/>
                <w:highlight w:val="yellow"/>
                <w:lang w:val="cs-CZ"/>
              </w:rPr>
            </w:pPr>
          </w:p>
        </w:tc>
      </w:tr>
    </w:tbl>
    <w:p w14:paraId="7A5BBC7D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2C5B03A5" w14:textId="77777777" w:rsidR="00C840FC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3AA78AB6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88143AE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220E42B4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1821BABA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6105220C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1CF81435" w14:textId="77777777" w:rsidR="00A95465" w:rsidRPr="00E41894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A95465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56E64" w14:textId="77777777" w:rsidR="00C4001E" w:rsidRDefault="00C4001E" w:rsidP="00B436A8">
      <w:pPr>
        <w:spacing w:after="0" w:line="240" w:lineRule="auto"/>
      </w:pPr>
      <w:r>
        <w:separator/>
      </w:r>
    </w:p>
  </w:endnote>
  <w:endnote w:type="continuationSeparator" w:id="0">
    <w:p w14:paraId="75B5B249" w14:textId="77777777" w:rsidR="00C4001E" w:rsidRDefault="00C4001E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60819CDB" w14:textId="77777777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1D57E678" w14:textId="77777777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B353B" w14:textId="77777777" w:rsidR="00C4001E" w:rsidRDefault="00C4001E" w:rsidP="00B436A8">
      <w:pPr>
        <w:spacing w:after="0" w:line="240" w:lineRule="auto"/>
      </w:pPr>
      <w:r>
        <w:separator/>
      </w:r>
    </w:p>
  </w:footnote>
  <w:footnote w:type="continuationSeparator" w:id="0">
    <w:p w14:paraId="049C1FC9" w14:textId="77777777" w:rsidR="00C4001E" w:rsidRDefault="00C4001E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CCB9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4.3pt;height:140.1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7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6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0"/>
  </w:num>
  <w:num w:numId="14">
    <w:abstractNumId w:val="7"/>
  </w:num>
  <w:num w:numId="15">
    <w:abstractNumId w:val="8"/>
  </w:num>
  <w:num w:numId="16">
    <w:abstractNumId w:val="1"/>
  </w:num>
  <w:num w:numId="17">
    <w:abstractNumId w:val="13"/>
    <w:lvlOverride w:ilvl="0">
      <w:startOverride w:val="2"/>
    </w:lvlOverride>
  </w:num>
  <w:num w:numId="18">
    <w:abstractNumId w:val="13"/>
  </w:num>
  <w:num w:numId="19">
    <w:abstractNumId w:val="0"/>
  </w:num>
  <w:num w:numId="20">
    <w:abstractNumId w:val="9"/>
  </w:num>
  <w:num w:numId="21">
    <w:abstractNumId w:val="14"/>
  </w:num>
  <w:num w:numId="22">
    <w:abstractNumId w:val="4"/>
  </w:num>
  <w:num w:numId="23">
    <w:abstractNumId w:val="13"/>
  </w:num>
  <w:num w:numId="24">
    <w:abstractNumId w:val="5"/>
  </w:num>
  <w:num w:numId="25">
    <w:abstractNumId w:val="13"/>
  </w:num>
  <w:num w:numId="26">
    <w:abstractNumId w:val="13"/>
  </w:num>
  <w:num w:numId="27">
    <w:abstractNumId w:val="13"/>
  </w:num>
  <w:num w:numId="28">
    <w:abstractNumId w:val="11"/>
  </w:num>
  <w:num w:numId="29">
    <w:abstractNumId w:val="3"/>
  </w:num>
  <w:num w:numId="30">
    <w:abstractNumId w:val="13"/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hideSpellingErrors/>
  <w:hideGrammaticalErrors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17995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4C5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26AA2"/>
    <w:rsid w:val="001361DB"/>
    <w:rsid w:val="00137827"/>
    <w:rsid w:val="00140A24"/>
    <w:rsid w:val="00140CA4"/>
    <w:rsid w:val="00144AF0"/>
    <w:rsid w:val="001456E8"/>
    <w:rsid w:val="0015452D"/>
    <w:rsid w:val="001553E8"/>
    <w:rsid w:val="00156FEC"/>
    <w:rsid w:val="0015799B"/>
    <w:rsid w:val="00160459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1727B"/>
    <w:rsid w:val="00222937"/>
    <w:rsid w:val="00222F34"/>
    <w:rsid w:val="00223E15"/>
    <w:rsid w:val="00224710"/>
    <w:rsid w:val="00226376"/>
    <w:rsid w:val="0023220B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E5A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2094"/>
    <w:rsid w:val="00343718"/>
    <w:rsid w:val="00344E5B"/>
    <w:rsid w:val="003469ED"/>
    <w:rsid w:val="00347409"/>
    <w:rsid w:val="00357868"/>
    <w:rsid w:val="003612A2"/>
    <w:rsid w:val="00361330"/>
    <w:rsid w:val="00361A9E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5CE1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0417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78E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247A"/>
    <w:rsid w:val="00504938"/>
    <w:rsid w:val="00507C04"/>
    <w:rsid w:val="005127D5"/>
    <w:rsid w:val="00515034"/>
    <w:rsid w:val="005165ED"/>
    <w:rsid w:val="005205D3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38C"/>
    <w:rsid w:val="005546B2"/>
    <w:rsid w:val="0056164E"/>
    <w:rsid w:val="0056703F"/>
    <w:rsid w:val="005723FC"/>
    <w:rsid w:val="00572B54"/>
    <w:rsid w:val="00574723"/>
    <w:rsid w:val="00574ECE"/>
    <w:rsid w:val="005807F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21C9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861BF"/>
    <w:rsid w:val="006930FF"/>
    <w:rsid w:val="0069419C"/>
    <w:rsid w:val="006A1CC3"/>
    <w:rsid w:val="006A5550"/>
    <w:rsid w:val="006A6559"/>
    <w:rsid w:val="006A65F7"/>
    <w:rsid w:val="006A6D9E"/>
    <w:rsid w:val="006A6DEE"/>
    <w:rsid w:val="006A705A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6F68D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3DE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45AC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4E5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47D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4457"/>
    <w:rsid w:val="00926ACA"/>
    <w:rsid w:val="0093091F"/>
    <w:rsid w:val="00933BF5"/>
    <w:rsid w:val="00935FE3"/>
    <w:rsid w:val="009369E5"/>
    <w:rsid w:val="0093780C"/>
    <w:rsid w:val="00941A9B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A02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04A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4AF1"/>
    <w:rsid w:val="00A95465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C74A7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1B7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25D6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2AE"/>
    <w:rsid w:val="00C247E9"/>
    <w:rsid w:val="00C24920"/>
    <w:rsid w:val="00C25E7F"/>
    <w:rsid w:val="00C30126"/>
    <w:rsid w:val="00C30B19"/>
    <w:rsid w:val="00C327D6"/>
    <w:rsid w:val="00C341DC"/>
    <w:rsid w:val="00C37C34"/>
    <w:rsid w:val="00C4001E"/>
    <w:rsid w:val="00C41526"/>
    <w:rsid w:val="00C41C79"/>
    <w:rsid w:val="00C42389"/>
    <w:rsid w:val="00C42957"/>
    <w:rsid w:val="00C43653"/>
    <w:rsid w:val="00C4607D"/>
    <w:rsid w:val="00C46740"/>
    <w:rsid w:val="00C467C2"/>
    <w:rsid w:val="00C51E83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CD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19F3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79B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968D9"/>
    <w:rsid w:val="00D96AD0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B5556"/>
    <w:rsid w:val="00DC0D6F"/>
    <w:rsid w:val="00DC17E3"/>
    <w:rsid w:val="00DC44DB"/>
    <w:rsid w:val="00DC4FDC"/>
    <w:rsid w:val="00DD03E6"/>
    <w:rsid w:val="00DD1542"/>
    <w:rsid w:val="00DD261E"/>
    <w:rsid w:val="00DD385E"/>
    <w:rsid w:val="00DD3E66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2F89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12A5"/>
    <w:rsid w:val="00F030CE"/>
    <w:rsid w:val="00F04B87"/>
    <w:rsid w:val="00F0656A"/>
    <w:rsid w:val="00F12C68"/>
    <w:rsid w:val="00F14422"/>
    <w:rsid w:val="00F178A7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F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3503</Words>
  <Characters>20673</Characters>
  <Application>Microsoft Office Word</Application>
  <DocSecurity>0</DocSecurity>
  <Lines>172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2023-01-16T09:30:00Z</dcterms:created>
  <dcterms:modified xsi:type="dcterms:W3CDTF">2023-01-20T13:06:00Z</dcterms:modified>
</cp:coreProperties>
</file>