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B5E4E" w14:textId="77777777" w:rsidR="00A54EFB" w:rsidRDefault="00A54EFB" w:rsidP="00A54EFB">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592D88FC" w14:textId="77777777" w:rsidR="00A54EFB" w:rsidRDefault="00A54EFB" w:rsidP="00A54EFB">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535D2CDE"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5EC3D9FA" w14:textId="77777777" w:rsidR="00ED2843" w:rsidRPr="00ED2843" w:rsidRDefault="00ED2843" w:rsidP="00ED2843">
      <w:pPr>
        <w:pStyle w:val="Zhlav"/>
        <w:jc w:val="center"/>
        <w:rPr>
          <w:b/>
          <w:sz w:val="18"/>
          <w:szCs w:val="20"/>
          <w:u w:val="single"/>
        </w:rPr>
      </w:pPr>
      <w:r w:rsidRPr="00ED2843">
        <w:rPr>
          <w:b/>
          <w:sz w:val="18"/>
          <w:szCs w:val="20"/>
          <w:u w:val="single"/>
        </w:rPr>
        <w:t>Část B:</w:t>
      </w:r>
    </w:p>
    <w:p w14:paraId="4226CEF8" w14:textId="1A8E425C" w:rsidR="000B49EE" w:rsidRDefault="00ED2843" w:rsidP="00ED2843">
      <w:pPr>
        <w:pStyle w:val="Zhlav"/>
        <w:jc w:val="center"/>
        <w:rPr>
          <w:b/>
          <w:sz w:val="18"/>
          <w:szCs w:val="20"/>
          <w:u w:val="single"/>
        </w:rPr>
      </w:pPr>
      <w:r w:rsidRPr="00ED2843">
        <w:rPr>
          <w:b/>
          <w:sz w:val="18"/>
          <w:szCs w:val="20"/>
          <w:u w:val="single"/>
        </w:rPr>
        <w:t>Přímé jednofázové průběhové elektroměry pro měření střední hodnoty činného a jalového výkonu na napěťové hladině NN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C33AE8"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lastRenderedPageBreak/>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C33AE8">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C33AE8"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F54D6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3415A" w14:textId="77777777" w:rsidR="00C33AE8" w:rsidRDefault="00C33AE8">
      <w:r>
        <w:separator/>
      </w:r>
    </w:p>
  </w:endnote>
  <w:endnote w:type="continuationSeparator" w:id="0">
    <w:p w14:paraId="085656F3" w14:textId="77777777" w:rsidR="00C33AE8" w:rsidRDefault="00C3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B768A" w14:textId="77777777" w:rsidR="00C33AE8" w:rsidRDefault="00C33AE8">
      <w:r>
        <w:separator/>
      </w:r>
    </w:p>
  </w:footnote>
  <w:footnote w:type="continuationSeparator" w:id="0">
    <w:p w14:paraId="3465506E" w14:textId="77777777" w:rsidR="00C33AE8" w:rsidRDefault="00C33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abstractNumId w:val="6"/>
  </w:num>
  <w:num w:numId="2">
    <w:abstractNumId w:val="0"/>
  </w:num>
  <w:num w:numId="3">
    <w:abstractNumId w:val="16"/>
  </w:num>
  <w:num w:numId="4">
    <w:abstractNumId w:val="8"/>
  </w:num>
  <w:num w:numId="5">
    <w:abstractNumId w:val="12"/>
  </w:num>
  <w:num w:numId="6">
    <w:abstractNumId w:val="5"/>
  </w:num>
  <w:num w:numId="7">
    <w:abstractNumId w:val="14"/>
  </w:num>
  <w:num w:numId="8">
    <w:abstractNumId w:val="19"/>
  </w:num>
  <w:num w:numId="9">
    <w:abstractNumId w:val="9"/>
  </w:num>
  <w:num w:numId="10">
    <w:abstractNumId w:val="17"/>
  </w:num>
  <w:num w:numId="11">
    <w:abstractNumId w:val="20"/>
  </w:num>
  <w:num w:numId="12">
    <w:abstractNumId w:val="13"/>
  </w:num>
  <w:num w:numId="13">
    <w:abstractNumId w:val="11"/>
  </w:num>
  <w:num w:numId="14">
    <w:abstractNumId w:val="4"/>
  </w:num>
  <w:num w:numId="15">
    <w:abstractNumId w:val="1"/>
  </w:num>
  <w:num w:numId="16">
    <w:abstractNumId w:val="15"/>
  </w:num>
  <w:num w:numId="17">
    <w:abstractNumId w:val="18"/>
  </w:num>
  <w:num w:numId="18">
    <w:abstractNumId w:val="2"/>
  </w:num>
  <w:num w:numId="1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21"/>
  </w:num>
  <w:num w:numId="21">
    <w:abstractNumId w:val="10"/>
  </w:num>
  <w:num w:numId="22">
    <w:abstractNumId w:val="7"/>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49EE"/>
    <w:rsid w:val="00185F3D"/>
    <w:rsid w:val="001B24EA"/>
    <w:rsid w:val="001C4B87"/>
    <w:rsid w:val="00203CAC"/>
    <w:rsid w:val="00275D67"/>
    <w:rsid w:val="002D15E3"/>
    <w:rsid w:val="00354F86"/>
    <w:rsid w:val="0038029C"/>
    <w:rsid w:val="003B45F9"/>
    <w:rsid w:val="003B68B6"/>
    <w:rsid w:val="003C5DEB"/>
    <w:rsid w:val="004248E8"/>
    <w:rsid w:val="00456BC1"/>
    <w:rsid w:val="00505C66"/>
    <w:rsid w:val="00537B3E"/>
    <w:rsid w:val="005B49EF"/>
    <w:rsid w:val="00604882"/>
    <w:rsid w:val="006213FF"/>
    <w:rsid w:val="00662C36"/>
    <w:rsid w:val="006842E7"/>
    <w:rsid w:val="006A330B"/>
    <w:rsid w:val="006D048E"/>
    <w:rsid w:val="007151B3"/>
    <w:rsid w:val="0077174B"/>
    <w:rsid w:val="007C7D08"/>
    <w:rsid w:val="007D2105"/>
    <w:rsid w:val="007E5ABC"/>
    <w:rsid w:val="007E5B21"/>
    <w:rsid w:val="007E7D5E"/>
    <w:rsid w:val="007F3B43"/>
    <w:rsid w:val="00804814"/>
    <w:rsid w:val="00822CD3"/>
    <w:rsid w:val="00840879"/>
    <w:rsid w:val="008424D6"/>
    <w:rsid w:val="008777ED"/>
    <w:rsid w:val="00882F2E"/>
    <w:rsid w:val="008A5AA4"/>
    <w:rsid w:val="0093461D"/>
    <w:rsid w:val="00935944"/>
    <w:rsid w:val="009471CF"/>
    <w:rsid w:val="009764E1"/>
    <w:rsid w:val="009C119D"/>
    <w:rsid w:val="009E38B3"/>
    <w:rsid w:val="00A32502"/>
    <w:rsid w:val="00A54EFB"/>
    <w:rsid w:val="00A75065"/>
    <w:rsid w:val="00AE2682"/>
    <w:rsid w:val="00B05D90"/>
    <w:rsid w:val="00B33C5A"/>
    <w:rsid w:val="00B45495"/>
    <w:rsid w:val="00B94E05"/>
    <w:rsid w:val="00BA773A"/>
    <w:rsid w:val="00BF0693"/>
    <w:rsid w:val="00C133A7"/>
    <w:rsid w:val="00C13970"/>
    <w:rsid w:val="00C33AE8"/>
    <w:rsid w:val="00C41CD5"/>
    <w:rsid w:val="00C46EEC"/>
    <w:rsid w:val="00CC53D9"/>
    <w:rsid w:val="00CD64AD"/>
    <w:rsid w:val="00D02988"/>
    <w:rsid w:val="00D242AC"/>
    <w:rsid w:val="00DF2BCD"/>
    <w:rsid w:val="00DF2E76"/>
    <w:rsid w:val="00E632C9"/>
    <w:rsid w:val="00E81DE0"/>
    <w:rsid w:val="00EA58F2"/>
    <w:rsid w:val="00EB2F19"/>
    <w:rsid w:val="00EB502A"/>
    <w:rsid w:val="00EC5716"/>
    <w:rsid w:val="00EC7F44"/>
    <w:rsid w:val="00ED2843"/>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143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D03B3AB2A1DD42B9444DE873676877" ma:contentTypeVersion="6" ma:contentTypeDescription="Create a new document." ma:contentTypeScope="" ma:versionID="e2150677f90bab7df37de78c9cddb529">
  <xsd:schema xmlns:xsd="http://www.w3.org/2001/XMLSchema" xmlns:xs="http://www.w3.org/2001/XMLSchema" xmlns:p="http://schemas.microsoft.com/office/2006/metadata/properties" xmlns:ns2="8e9b4dde-15db-4653-bfc7-653ddd20fd8e" xmlns:ns3="235abf29-8e9a-4c99-9eb8-17b18cb6af13" targetNamespace="http://schemas.microsoft.com/office/2006/metadata/properties" ma:root="true" ma:fieldsID="6285e6217c054c83261447432d8d5524" ns2:_="" ns3:_="">
    <xsd:import namespace="8e9b4dde-15db-4653-bfc7-653ddd20fd8e"/>
    <xsd:import namespace="235abf29-8e9a-4c99-9eb8-17b18cb6af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9b4dde-15db-4653-bfc7-653ddd20f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5abf29-8e9a-4c99-9eb8-17b18cb6af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81AD9F5A-6C60-46F1-B702-2FA47FB1E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9b4dde-15db-4653-bfc7-653ddd20fd8e"/>
    <ds:schemaRef ds:uri="235abf29-8e9a-4c99-9eb8-17b18cb6a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9458</Words>
  <Characters>55809</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2022-02-09T13:32:00Z</cp:lastPrinted>
  <dcterms:created xsi:type="dcterms:W3CDTF">2022-10-21T08:18:00Z</dcterms:created>
  <dcterms:modified xsi:type="dcterms:W3CDTF">2023-01-19T09:07:00Z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0x01010048D03B3AB2A1DD42B9444DE873676877</vt:lpwstr>
  </property>
</Properties>
</file>