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Příloha 4a</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0D7FAEB0" w:rsidR="00AC5390" w:rsidRPr="00AC5390" w:rsidRDefault="00AD76CA" w:rsidP="00AC5390">
      <w:pPr>
        <w:pStyle w:val="Zhlav"/>
        <w:jc w:val="center"/>
        <w:rPr>
          <w:b/>
          <w:sz w:val="18"/>
          <w:szCs w:val="20"/>
        </w:rPr>
      </w:pPr>
      <w:r w:rsidRPr="00AD76CA">
        <w:rPr>
          <w:rFonts w:asciiTheme="minorHAnsi" w:hAnsiTheme="minorHAnsi" w:cstheme="minorHAnsi"/>
          <w:b/>
          <w:color w:val="000000"/>
          <w:sz w:val="18"/>
          <w:szCs w:val="18"/>
        </w:rPr>
        <w:t>Smart rozv</w:t>
      </w:r>
      <w:r w:rsidR="00202EFA">
        <w:rPr>
          <w:rFonts w:asciiTheme="minorHAnsi" w:hAnsiTheme="minorHAnsi" w:cstheme="minorHAnsi"/>
          <w:b/>
          <w:color w:val="000000"/>
          <w:sz w:val="18"/>
          <w:szCs w:val="18"/>
        </w:rPr>
        <w:t>á</w:t>
      </w:r>
      <w:r w:rsidRPr="00AD76CA">
        <w:rPr>
          <w:rFonts w:asciiTheme="minorHAnsi" w:hAnsiTheme="minorHAnsi" w:cstheme="minorHAnsi"/>
          <w:b/>
          <w:color w:val="000000"/>
          <w:sz w:val="18"/>
          <w:szCs w:val="18"/>
        </w:rPr>
        <w:t>děče NN pro Brno-střed</w:t>
      </w:r>
    </w:p>
    <w:p w14:paraId="7ECF9A01" w14:textId="72F1072F" w:rsidR="00AC5390" w:rsidRPr="00AC5390" w:rsidRDefault="00AC5390" w:rsidP="00AC5390">
      <w:pPr>
        <w:pStyle w:val="Zhlav"/>
        <w:jc w:val="center"/>
        <w:rPr>
          <w:b/>
          <w:sz w:val="18"/>
          <w:szCs w:val="20"/>
        </w:rPr>
      </w:pP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BB0D9B">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BB0D9B">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6"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6"/>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7" w:name="_Hlk536530882"/>
      <w:r w:rsidRPr="00AC5390">
        <w:rPr>
          <w:b/>
          <w:sz w:val="18"/>
          <w:szCs w:val="20"/>
          <w:u w:val="single"/>
        </w:rPr>
        <w:lastRenderedPageBreak/>
        <w:t>Příloha 4</w:t>
      </w:r>
      <w:r w:rsidR="00E70317">
        <w:rPr>
          <w:b/>
          <w:sz w:val="18"/>
          <w:szCs w:val="20"/>
          <w:u w:val="single"/>
        </w:rPr>
        <w:t>b</w:t>
      </w:r>
    </w:p>
    <w:p w14:paraId="0852987B" w14:textId="77777777" w:rsidR="00AC5390" w:rsidRDefault="00AC5390" w:rsidP="00AC5390">
      <w:pPr>
        <w:pStyle w:val="Zhlav"/>
        <w:jc w:val="center"/>
        <w:rPr>
          <w:b/>
          <w:sz w:val="18"/>
          <w:szCs w:val="20"/>
          <w:u w:val="single"/>
        </w:rPr>
      </w:pPr>
    </w:p>
    <w:p w14:paraId="63B06D57" w14:textId="3790EEB6" w:rsidR="00AC5390" w:rsidRPr="00B743DC" w:rsidRDefault="00B743DC" w:rsidP="00AC5390">
      <w:pPr>
        <w:pStyle w:val="Zhlav"/>
        <w:jc w:val="center"/>
        <w:rPr>
          <w:b/>
          <w:sz w:val="18"/>
          <w:szCs w:val="18"/>
        </w:rPr>
      </w:pPr>
      <w:r w:rsidRPr="00B743DC">
        <w:rPr>
          <w:rFonts w:cs="Arial"/>
          <w:b/>
          <w:sz w:val="18"/>
          <w:szCs w:val="18"/>
        </w:rPr>
        <w:t>Smart rozv</w:t>
      </w:r>
      <w:r w:rsidR="00F97EE8">
        <w:rPr>
          <w:rFonts w:cs="Arial"/>
          <w:b/>
          <w:sz w:val="18"/>
          <w:szCs w:val="18"/>
        </w:rPr>
        <w:t>á</w:t>
      </w:r>
      <w:r w:rsidRPr="00B743DC">
        <w:rPr>
          <w:rFonts w:cs="Arial"/>
          <w:b/>
          <w:sz w:val="18"/>
          <w:szCs w:val="18"/>
        </w:rPr>
        <w:t>děče NN pro Brno-střed</w:t>
      </w:r>
    </w:p>
    <w:p w14:paraId="025F8777" w14:textId="7D25CA5D" w:rsidR="00AC5390" w:rsidRPr="00AC5390" w:rsidRDefault="00AC5390" w:rsidP="00AC5390">
      <w:pPr>
        <w:pStyle w:val="Zhlav"/>
        <w:jc w:val="center"/>
        <w:rPr>
          <w:b/>
          <w:sz w:val="18"/>
          <w:szCs w:val="20"/>
        </w:rPr>
      </w:pP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7"/>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BB0D9B"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CDFB" w14:textId="77777777" w:rsidR="00980FE5" w:rsidRDefault="00980FE5">
      <w:r>
        <w:separator/>
      </w:r>
    </w:p>
  </w:endnote>
  <w:endnote w:type="continuationSeparator" w:id="0">
    <w:p w14:paraId="3CEB21E7" w14:textId="77777777" w:rsidR="00980FE5" w:rsidRDefault="0098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6A242" w14:textId="77777777" w:rsidR="00980FE5" w:rsidRDefault="00980FE5">
      <w:r>
        <w:separator/>
      </w:r>
    </w:p>
  </w:footnote>
  <w:footnote w:type="continuationSeparator" w:id="0">
    <w:p w14:paraId="5BD42E22" w14:textId="77777777" w:rsidR="00980FE5" w:rsidRDefault="00980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bookmarkStart w:id="0" w:name="_Hlk100064117"/>
    <w:bookmarkStart w:id="1" w:name="_Hlk100064118"/>
    <w:bookmarkStart w:id="2" w:name="_Hlk100064119"/>
    <w:bookmarkStart w:id="3" w:name="_Hlk100064120"/>
    <w:bookmarkStart w:id="4" w:name="_Hlk100064121"/>
    <w:bookmarkStart w:id="5" w:name="_Hlk100064122"/>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bookmarkEnd w:id="0"/>
    <w:bookmarkEnd w:id="1"/>
    <w:bookmarkEnd w:id="2"/>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16cid:durableId="157887769">
    <w:abstractNumId w:val="10"/>
  </w:num>
  <w:num w:numId="2" w16cid:durableId="181012860">
    <w:abstractNumId w:val="4"/>
  </w:num>
  <w:num w:numId="3" w16cid:durableId="1090660818">
    <w:abstractNumId w:val="3"/>
  </w:num>
  <w:num w:numId="4" w16cid:durableId="1351180524">
    <w:abstractNumId w:val="14"/>
  </w:num>
  <w:num w:numId="5" w16cid:durableId="354231453">
    <w:abstractNumId w:val="21"/>
  </w:num>
  <w:num w:numId="6" w16cid:durableId="1004015090">
    <w:abstractNumId w:val="12"/>
  </w:num>
  <w:num w:numId="7" w16cid:durableId="1550604742">
    <w:abstractNumId w:val="17"/>
  </w:num>
  <w:num w:numId="8" w16cid:durableId="340083048">
    <w:abstractNumId w:val="9"/>
  </w:num>
  <w:num w:numId="9" w16cid:durableId="2101870608">
    <w:abstractNumId w:val="19"/>
  </w:num>
  <w:num w:numId="10" w16cid:durableId="853610645">
    <w:abstractNumId w:val="24"/>
  </w:num>
  <w:num w:numId="11" w16cid:durableId="2021814463">
    <w:abstractNumId w:val="13"/>
  </w:num>
  <w:num w:numId="12" w16cid:durableId="13575649">
    <w:abstractNumId w:val="22"/>
  </w:num>
  <w:num w:numId="13" w16cid:durableId="1355882786">
    <w:abstractNumId w:val="25"/>
  </w:num>
  <w:num w:numId="14" w16cid:durableId="2025664062">
    <w:abstractNumId w:val="18"/>
  </w:num>
  <w:num w:numId="15" w16cid:durableId="296952568">
    <w:abstractNumId w:val="15"/>
  </w:num>
  <w:num w:numId="16" w16cid:durableId="563880691">
    <w:abstractNumId w:val="8"/>
  </w:num>
  <w:num w:numId="17" w16cid:durableId="1797941660">
    <w:abstractNumId w:val="5"/>
  </w:num>
  <w:num w:numId="18" w16cid:durableId="978271052">
    <w:abstractNumId w:val="20"/>
  </w:num>
  <w:num w:numId="19" w16cid:durableId="208807462">
    <w:abstractNumId w:val="23"/>
  </w:num>
  <w:num w:numId="20" w16cid:durableId="713771507">
    <w:abstractNumId w:val="6"/>
  </w:num>
  <w:num w:numId="21" w16cid:durableId="449591413">
    <w:abstractNumId w:val="0"/>
  </w:num>
  <w:num w:numId="22" w16cid:durableId="2126270169">
    <w:abstractNumId w:val="1"/>
  </w:num>
  <w:num w:numId="23" w16cid:durableId="1764567642">
    <w:abstractNumId w:val="16"/>
  </w:num>
  <w:num w:numId="24" w16cid:durableId="2092193902">
    <w:abstractNumId w:val="2"/>
  </w:num>
  <w:num w:numId="25" w16cid:durableId="676232094">
    <w:abstractNumId w:val="11"/>
  </w:num>
  <w:num w:numId="26" w16cid:durableId="1979022381">
    <w:abstractNumId w:val="7"/>
  </w:num>
  <w:num w:numId="27" w16cid:durableId="12847743">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16850"/>
    <w:rsid w:val="000266AC"/>
    <w:rsid w:val="00027FBC"/>
    <w:rsid w:val="000326A5"/>
    <w:rsid w:val="0013107A"/>
    <w:rsid w:val="001506D9"/>
    <w:rsid w:val="001C4B87"/>
    <w:rsid w:val="00202EFA"/>
    <w:rsid w:val="00230B0F"/>
    <w:rsid w:val="002A5E71"/>
    <w:rsid w:val="002A62C7"/>
    <w:rsid w:val="002F392F"/>
    <w:rsid w:val="00491206"/>
    <w:rsid w:val="00505C66"/>
    <w:rsid w:val="005F6EEB"/>
    <w:rsid w:val="00622498"/>
    <w:rsid w:val="007E4FE6"/>
    <w:rsid w:val="0081224F"/>
    <w:rsid w:val="00825DB1"/>
    <w:rsid w:val="00840879"/>
    <w:rsid w:val="00867091"/>
    <w:rsid w:val="00882F2E"/>
    <w:rsid w:val="008B042C"/>
    <w:rsid w:val="008B3AA6"/>
    <w:rsid w:val="008C4A5A"/>
    <w:rsid w:val="0091582A"/>
    <w:rsid w:val="00920726"/>
    <w:rsid w:val="00935944"/>
    <w:rsid w:val="009449D4"/>
    <w:rsid w:val="00980FE5"/>
    <w:rsid w:val="009A1FE1"/>
    <w:rsid w:val="009C119D"/>
    <w:rsid w:val="00A32502"/>
    <w:rsid w:val="00A75065"/>
    <w:rsid w:val="00AC5390"/>
    <w:rsid w:val="00AD76CA"/>
    <w:rsid w:val="00B26A66"/>
    <w:rsid w:val="00B743DC"/>
    <w:rsid w:val="00B84EFC"/>
    <w:rsid w:val="00BA0F1A"/>
    <w:rsid w:val="00BB0D9B"/>
    <w:rsid w:val="00C3255B"/>
    <w:rsid w:val="00CA4649"/>
    <w:rsid w:val="00D7641B"/>
    <w:rsid w:val="00DC6A2A"/>
    <w:rsid w:val="00E66B86"/>
    <w:rsid w:val="00E70317"/>
    <w:rsid w:val="00ED56AE"/>
    <w:rsid w:val="00F0760D"/>
    <w:rsid w:val="00F1334E"/>
    <w:rsid w:val="00F97EE8"/>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 w:type="paragraph" w:styleId="Revize">
    <w:name w:val="Revision"/>
    <w:hidden/>
    <w:uiPriority w:val="99"/>
    <w:semiHidden/>
    <w:rsid w:val="00ED56AE"/>
    <w:pPr>
      <w:widowControl/>
      <w:autoSpaceDE/>
      <w:autoSpaceDN/>
    </w:pPr>
    <w:rPr>
      <w:rFonts w:ascii="Calibri" w:eastAsia="Calibri" w:hAnsi="Calibri" w:cs="Calibri"/>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17</Pages>
  <Words>9417</Words>
  <Characters>55566</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Štěrbová, Lenka</cp:lastModifiedBy>
  <cp:revision>8</cp:revision>
  <dcterms:created xsi:type="dcterms:W3CDTF">2023-04-13T10:24:00Z</dcterms:created>
  <dcterms:modified xsi:type="dcterms:W3CDTF">2023-05-10T12:19:00Z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