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24CAC" w14:textId="77777777" w:rsidR="00C63D60" w:rsidRDefault="00C63D60">
      <w:pPr>
        <w:pBdr>
          <w:top w:val="nil"/>
          <w:left w:val="nil"/>
          <w:bottom w:val="nil"/>
          <w:right w:val="nil"/>
          <w:between w:val="nil"/>
        </w:pBdr>
        <w:tabs>
          <w:tab w:val="center" w:pos="4536"/>
          <w:tab w:val="right" w:pos="9072"/>
        </w:tabs>
        <w:jc w:val="center"/>
        <w:rPr>
          <w:rFonts w:eastAsia="Arial" w:cs="Arial"/>
          <w:b/>
          <w:color w:val="000000"/>
          <w:szCs w:val="20"/>
          <w:u w:val="single"/>
        </w:rPr>
      </w:pPr>
    </w:p>
    <w:p w14:paraId="6E343DE5" w14:textId="77777777" w:rsidR="00C63D60" w:rsidRDefault="00DB6421">
      <w:pPr>
        <w:pBdr>
          <w:top w:val="nil"/>
          <w:left w:val="nil"/>
          <w:bottom w:val="nil"/>
          <w:right w:val="nil"/>
          <w:between w:val="nil"/>
        </w:pBdr>
        <w:tabs>
          <w:tab w:val="center" w:pos="4536"/>
          <w:tab w:val="right" w:pos="9072"/>
        </w:tabs>
        <w:jc w:val="center"/>
        <w:rPr>
          <w:rFonts w:eastAsia="Arial" w:cs="Arial"/>
          <w:b/>
          <w:color w:val="000000"/>
          <w:szCs w:val="20"/>
          <w:u w:val="single"/>
        </w:rPr>
      </w:pPr>
      <w:r>
        <w:rPr>
          <w:rFonts w:eastAsia="Arial" w:cs="Arial"/>
          <w:b/>
          <w:color w:val="000000"/>
          <w:szCs w:val="20"/>
          <w:u w:val="single"/>
        </w:rPr>
        <w:t>Anexa 5</w:t>
      </w:r>
    </w:p>
    <w:p w14:paraId="65376B1B" w14:textId="77777777" w:rsidR="00C63D60" w:rsidRDefault="00C63D60">
      <w:pPr>
        <w:pBdr>
          <w:top w:val="nil"/>
          <w:left w:val="nil"/>
          <w:bottom w:val="nil"/>
          <w:right w:val="nil"/>
          <w:between w:val="nil"/>
        </w:pBdr>
        <w:tabs>
          <w:tab w:val="center" w:pos="4536"/>
          <w:tab w:val="right" w:pos="9072"/>
        </w:tabs>
        <w:jc w:val="center"/>
        <w:rPr>
          <w:rFonts w:eastAsia="Arial" w:cs="Arial"/>
          <w:b/>
          <w:color w:val="000000"/>
          <w:szCs w:val="20"/>
        </w:rPr>
      </w:pPr>
    </w:p>
    <w:p w14:paraId="1A14E0D3" w14:textId="77777777" w:rsidR="00C63D60" w:rsidRDefault="00DB6421">
      <w:pPr>
        <w:pBdr>
          <w:top w:val="nil"/>
          <w:left w:val="nil"/>
          <w:bottom w:val="nil"/>
          <w:right w:val="nil"/>
          <w:between w:val="nil"/>
        </w:pBdr>
        <w:tabs>
          <w:tab w:val="center" w:pos="4536"/>
          <w:tab w:val="right" w:pos="9072"/>
        </w:tabs>
        <w:jc w:val="center"/>
        <w:rPr>
          <w:rFonts w:eastAsia="Arial" w:cs="Arial"/>
          <w:b/>
          <w:color w:val="000000"/>
          <w:szCs w:val="20"/>
        </w:rPr>
      </w:pPr>
      <w:r>
        <w:rPr>
          <w:b/>
        </w:rPr>
        <w:t>Condiții</w:t>
      </w:r>
      <w:r>
        <w:rPr>
          <w:rFonts w:eastAsia="Arial" w:cs="Arial"/>
          <w:b/>
          <w:color w:val="000000"/>
          <w:szCs w:val="20"/>
        </w:rPr>
        <w:t xml:space="preserve"> de ambalare </w:t>
      </w:r>
      <w:r>
        <w:rPr>
          <w:b/>
        </w:rPr>
        <w:t>și</w:t>
      </w:r>
      <w:r>
        <w:rPr>
          <w:rFonts w:eastAsia="Arial" w:cs="Arial"/>
          <w:b/>
          <w:color w:val="000000"/>
          <w:szCs w:val="20"/>
        </w:rPr>
        <w:t xml:space="preserve"> </w:t>
      </w:r>
      <w:r>
        <w:rPr>
          <w:b/>
        </w:rPr>
        <w:t>împrumut</w:t>
      </w:r>
      <w:r>
        <w:rPr>
          <w:rFonts w:eastAsia="Arial" w:cs="Arial"/>
          <w:b/>
          <w:color w:val="000000"/>
          <w:szCs w:val="20"/>
        </w:rPr>
        <w:t xml:space="preserve">, returnare </w:t>
      </w:r>
      <w:r>
        <w:rPr>
          <w:b/>
        </w:rPr>
        <w:t>și</w:t>
      </w:r>
      <w:r>
        <w:rPr>
          <w:rFonts w:eastAsia="Arial" w:cs="Arial"/>
          <w:b/>
          <w:color w:val="000000"/>
          <w:szCs w:val="20"/>
        </w:rPr>
        <w:t xml:space="preserve"> plata </w:t>
      </w:r>
      <w:r>
        <w:rPr>
          <w:b/>
        </w:rPr>
        <w:t>prețului</w:t>
      </w:r>
      <w:r>
        <w:rPr>
          <w:rFonts w:eastAsia="Arial" w:cs="Arial"/>
          <w:b/>
          <w:color w:val="000000"/>
          <w:szCs w:val="20"/>
        </w:rPr>
        <w:t xml:space="preserve"> ambalajului</w:t>
      </w:r>
    </w:p>
    <w:p w14:paraId="2E01B55A" w14:textId="77777777" w:rsidR="00C63D60" w:rsidRDefault="00C63D60">
      <w:pPr>
        <w:jc w:val="both"/>
      </w:pPr>
    </w:p>
    <w:p w14:paraId="1297081A" w14:textId="3C2CEB70" w:rsidR="00C63D60" w:rsidRDefault="00DB6421">
      <w:pPr>
        <w:jc w:val="both"/>
        <w:rPr>
          <w:b/>
        </w:rPr>
      </w:pPr>
      <w:r>
        <w:rPr>
          <w:b/>
        </w:rPr>
        <w:t>Condiții</w:t>
      </w:r>
      <w:r w:rsidR="007D4068">
        <w:rPr>
          <w:b/>
        </w:rPr>
        <w:t>le</w:t>
      </w:r>
      <w:r>
        <w:rPr>
          <w:b/>
        </w:rPr>
        <w:t xml:space="preserve"> de ambalare a </w:t>
      </w:r>
      <w:r w:rsidR="007D4068">
        <w:rPr>
          <w:b/>
        </w:rPr>
        <w:t>produselor</w:t>
      </w:r>
    </w:p>
    <w:p w14:paraId="471E8F15" w14:textId="77777777" w:rsidR="00C63D60" w:rsidRDefault="00C63D60">
      <w:pPr>
        <w:jc w:val="both"/>
      </w:pPr>
    </w:p>
    <w:p w14:paraId="7A63F6F6" w14:textId="41198DE1" w:rsidR="00C63D60" w:rsidRDefault="00DB6421">
      <w:pPr>
        <w:jc w:val="both"/>
      </w:pPr>
      <w:r>
        <w:t xml:space="preserve">Cablurile livrate </w:t>
      </w:r>
      <w:r w:rsidR="00536C72">
        <w:t xml:space="preserve">în CZ trebuie să fie </w:t>
      </w:r>
      <w:r>
        <w:t xml:space="preserve">pe tamburi de cablu din oțel. Tamburul trebuie să fie în stare </w:t>
      </w:r>
      <w:r>
        <w:t>perfectă, iar partea interioară destinată înfășurării cablului trebuie să fie suficient de netedă. Diametrul maxim al tamburului de cablu nu trebuie să depășească 2,25 m.</w:t>
      </w:r>
    </w:p>
    <w:p w14:paraId="16562EA5" w14:textId="7F20FDEA" w:rsidR="00536C72" w:rsidRDefault="00536C72" w:rsidP="00536C72">
      <w:pPr>
        <w:jc w:val="both"/>
      </w:pPr>
      <w:r>
        <w:t>Cablurile livrate în RO trebuie să fie pe tamburi de cablu din lemn. Tamburul trebuie să fie în stare perfectă, iar partea interioară destinată înfășurării cablului trebuie să fie suficient de netedă. Diametrul maxim al tamburului de cablu nu trebuie să depășească 1,85 m.</w:t>
      </w:r>
    </w:p>
    <w:p w14:paraId="68062F81" w14:textId="77777777" w:rsidR="00C63D60" w:rsidRDefault="00C63D60">
      <w:pPr>
        <w:jc w:val="both"/>
      </w:pPr>
    </w:p>
    <w:p w14:paraId="505956AE" w14:textId="77777777" w:rsidR="00C63D60" w:rsidRDefault="00DB6421">
      <w:pPr>
        <w:jc w:val="both"/>
      </w:pPr>
      <w:r>
        <w:t xml:space="preserve">Tamburul de cablu trebuie să fie marcat cu o etichetă </w:t>
      </w:r>
      <w:r>
        <w:t>lizibilă rezistentă la intemperii, care trebuie să conțină cel puțin următoarele informații:</w:t>
      </w:r>
    </w:p>
    <w:p w14:paraId="0E5F43DB" w14:textId="77777777" w:rsidR="00C63D60" w:rsidRDefault="00C63D60">
      <w:pPr>
        <w:jc w:val="both"/>
      </w:pPr>
    </w:p>
    <w:p w14:paraId="77BAD896" w14:textId="374750A4" w:rsidR="00C63D60" w:rsidRDefault="007D4068">
      <w:pPr>
        <w:numPr>
          <w:ilvl w:val="0"/>
          <w:numId w:val="1"/>
        </w:numPr>
        <w:pBdr>
          <w:top w:val="nil"/>
          <w:left w:val="nil"/>
          <w:bottom w:val="nil"/>
          <w:right w:val="nil"/>
          <w:between w:val="nil"/>
        </w:pBdr>
        <w:rPr>
          <w:rFonts w:eastAsia="Arial" w:cs="Arial"/>
          <w:color w:val="000000"/>
          <w:szCs w:val="20"/>
        </w:rPr>
      </w:pPr>
      <w:r>
        <w:rPr>
          <w:rFonts w:eastAsia="Arial" w:cs="Arial"/>
          <w:color w:val="000000"/>
          <w:szCs w:val="20"/>
        </w:rPr>
        <w:t>denumirea producătorului cablului / sigla producătorului</w:t>
      </w:r>
    </w:p>
    <w:p w14:paraId="5613DCE4" w14:textId="77777777" w:rsidR="00C63D60" w:rsidRDefault="00DB6421">
      <w:pPr>
        <w:numPr>
          <w:ilvl w:val="0"/>
          <w:numId w:val="1"/>
        </w:numPr>
        <w:pBdr>
          <w:top w:val="nil"/>
          <w:left w:val="nil"/>
          <w:bottom w:val="nil"/>
          <w:right w:val="nil"/>
          <w:between w:val="nil"/>
        </w:pBdr>
        <w:rPr>
          <w:rFonts w:eastAsia="Arial" w:cs="Arial"/>
          <w:color w:val="000000"/>
          <w:szCs w:val="20"/>
        </w:rPr>
      </w:pPr>
      <w:r>
        <w:rPr>
          <w:rFonts w:eastAsia="Arial" w:cs="Arial"/>
          <w:color w:val="000000"/>
          <w:szCs w:val="20"/>
        </w:rPr>
        <w:t>identificarea completă (marca) a cablului conform standardului aplicabil</w:t>
      </w:r>
    </w:p>
    <w:p w14:paraId="530DEDF8" w14:textId="77777777" w:rsidR="00C63D60" w:rsidRDefault="00DB6421">
      <w:pPr>
        <w:numPr>
          <w:ilvl w:val="0"/>
          <w:numId w:val="1"/>
        </w:numPr>
        <w:pBdr>
          <w:top w:val="nil"/>
          <w:left w:val="nil"/>
          <w:bottom w:val="nil"/>
          <w:right w:val="nil"/>
          <w:between w:val="nil"/>
        </w:pBdr>
        <w:rPr>
          <w:rFonts w:eastAsia="Arial" w:cs="Arial"/>
          <w:color w:val="000000"/>
          <w:szCs w:val="20"/>
        </w:rPr>
      </w:pPr>
      <w:r>
        <w:rPr>
          <w:rFonts w:eastAsia="Arial" w:cs="Arial"/>
          <w:color w:val="000000"/>
          <w:szCs w:val="20"/>
        </w:rPr>
        <w:t>lungimea livrată (în metri) cu o</w:t>
      </w:r>
      <w:r>
        <w:rPr>
          <w:rFonts w:eastAsia="Arial" w:cs="Arial"/>
          <w:color w:val="000000"/>
          <w:szCs w:val="20"/>
        </w:rPr>
        <w:t xml:space="preserve"> toleranță de ±0,5%</w:t>
      </w:r>
    </w:p>
    <w:p w14:paraId="586F2673" w14:textId="77777777" w:rsidR="00C63D60" w:rsidRDefault="00DB6421">
      <w:pPr>
        <w:numPr>
          <w:ilvl w:val="0"/>
          <w:numId w:val="1"/>
        </w:numPr>
        <w:pBdr>
          <w:top w:val="nil"/>
          <w:left w:val="nil"/>
          <w:bottom w:val="nil"/>
          <w:right w:val="nil"/>
          <w:between w:val="nil"/>
        </w:pBdr>
        <w:rPr>
          <w:rFonts w:eastAsia="Arial" w:cs="Arial"/>
          <w:color w:val="000000"/>
          <w:szCs w:val="20"/>
        </w:rPr>
      </w:pPr>
      <w:r>
        <w:rPr>
          <w:rFonts w:eastAsia="Arial" w:cs="Arial"/>
          <w:color w:val="000000"/>
          <w:szCs w:val="20"/>
        </w:rPr>
        <w:t>greutate totală</w:t>
      </w:r>
    </w:p>
    <w:p w14:paraId="3B22DE13" w14:textId="77777777" w:rsidR="00C63D60" w:rsidRDefault="00DB6421">
      <w:pPr>
        <w:numPr>
          <w:ilvl w:val="0"/>
          <w:numId w:val="1"/>
        </w:numPr>
        <w:pBdr>
          <w:top w:val="nil"/>
          <w:left w:val="nil"/>
          <w:bottom w:val="nil"/>
          <w:right w:val="nil"/>
          <w:between w:val="nil"/>
        </w:pBdr>
        <w:rPr>
          <w:rFonts w:eastAsia="Arial" w:cs="Arial"/>
          <w:color w:val="000000"/>
          <w:szCs w:val="20"/>
        </w:rPr>
      </w:pPr>
      <w:r>
        <w:rPr>
          <w:rFonts w:eastAsia="Arial" w:cs="Arial"/>
          <w:color w:val="000000"/>
          <w:szCs w:val="20"/>
        </w:rPr>
        <w:t>numărul tamburului de cablu</w:t>
      </w:r>
    </w:p>
    <w:p w14:paraId="43AE3FA4" w14:textId="77777777" w:rsidR="00C63D60" w:rsidRDefault="00DB6421">
      <w:pPr>
        <w:numPr>
          <w:ilvl w:val="0"/>
          <w:numId w:val="1"/>
        </w:numPr>
        <w:pBdr>
          <w:top w:val="nil"/>
          <w:left w:val="nil"/>
          <w:bottom w:val="nil"/>
          <w:right w:val="nil"/>
          <w:between w:val="nil"/>
        </w:pBdr>
        <w:rPr>
          <w:rFonts w:eastAsia="Arial" w:cs="Arial"/>
          <w:color w:val="000000"/>
          <w:szCs w:val="20"/>
        </w:rPr>
      </w:pPr>
      <w:r>
        <w:rPr>
          <w:rFonts w:eastAsia="Arial" w:cs="Arial"/>
          <w:color w:val="000000"/>
          <w:szCs w:val="20"/>
        </w:rPr>
        <w:t>o săgeată care indică direcția de rotație</w:t>
      </w:r>
    </w:p>
    <w:p w14:paraId="0ECC4E06" w14:textId="3B84B165" w:rsidR="00C63D60" w:rsidRDefault="007D4068">
      <w:pPr>
        <w:numPr>
          <w:ilvl w:val="0"/>
          <w:numId w:val="1"/>
        </w:numPr>
        <w:pBdr>
          <w:top w:val="nil"/>
          <w:left w:val="nil"/>
          <w:bottom w:val="nil"/>
          <w:right w:val="nil"/>
          <w:between w:val="nil"/>
        </w:pBdr>
        <w:rPr>
          <w:rFonts w:eastAsia="Arial" w:cs="Arial"/>
          <w:color w:val="000000"/>
          <w:szCs w:val="20"/>
        </w:rPr>
      </w:pPr>
      <w:r>
        <w:rPr>
          <w:rFonts w:eastAsia="Arial" w:cs="Arial"/>
          <w:color w:val="000000"/>
          <w:szCs w:val="20"/>
        </w:rPr>
        <w:t>metrajul la ambele capete ale cablului</w:t>
      </w:r>
    </w:p>
    <w:p w14:paraId="4ED9EEAE" w14:textId="5AE36B59" w:rsidR="00C63D60" w:rsidRDefault="007D4068">
      <w:pPr>
        <w:numPr>
          <w:ilvl w:val="0"/>
          <w:numId w:val="1"/>
        </w:numPr>
        <w:pBdr>
          <w:top w:val="nil"/>
          <w:left w:val="nil"/>
          <w:bottom w:val="nil"/>
          <w:right w:val="nil"/>
          <w:between w:val="nil"/>
        </w:pBdr>
        <w:rPr>
          <w:rFonts w:eastAsia="Arial" w:cs="Arial"/>
          <w:color w:val="000000"/>
          <w:szCs w:val="20"/>
        </w:rPr>
      </w:pPr>
      <w:r>
        <w:rPr>
          <w:rFonts w:eastAsia="Arial" w:cs="Arial"/>
          <w:color w:val="000000"/>
          <w:szCs w:val="20"/>
        </w:rPr>
        <w:t>numărul SAP</w:t>
      </w:r>
    </w:p>
    <w:p w14:paraId="19A67363" w14:textId="77777777" w:rsidR="00C63D60" w:rsidRDefault="00C63D60">
      <w:pPr>
        <w:jc w:val="both"/>
      </w:pPr>
    </w:p>
    <w:p w14:paraId="21A55F34" w14:textId="77777777" w:rsidR="00C63D60" w:rsidRDefault="00DB6421">
      <w:pPr>
        <w:jc w:val="both"/>
      </w:pPr>
      <w:r>
        <w:t xml:space="preserve">Folia de protecție sau alt material de ambalare nu sunt permise. Ambalarea este posibilă doar la </w:t>
      </w:r>
      <w:r>
        <w:t>cererea cumpărătorului.</w:t>
      </w:r>
    </w:p>
    <w:p w14:paraId="6042173E" w14:textId="77777777" w:rsidR="00C63D60" w:rsidRDefault="00C63D60">
      <w:pPr>
        <w:jc w:val="both"/>
      </w:pPr>
    </w:p>
    <w:p w14:paraId="62829F0E" w14:textId="77777777" w:rsidR="00C63D60" w:rsidRDefault="00DB6421">
      <w:pPr>
        <w:jc w:val="both"/>
      </w:pPr>
      <w:r>
        <w:t>Bobine necesare pentru dimensiunile individuale ale cablurilor:</w:t>
      </w:r>
    </w:p>
    <w:p w14:paraId="481CCDC1" w14:textId="77777777" w:rsidR="00C63D60" w:rsidRDefault="00C63D60">
      <w:pPr>
        <w:rPr>
          <w:rFonts w:eastAsia="Arial" w:cs="Arial"/>
          <w:b/>
          <w:color w:val="000000"/>
          <w:szCs w:val="20"/>
        </w:rPr>
      </w:pPr>
    </w:p>
    <w:tbl>
      <w:tblPr>
        <w:tblStyle w:val="a"/>
        <w:tblW w:w="7451"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608"/>
        <w:gridCol w:w="5142"/>
        <w:gridCol w:w="1701"/>
      </w:tblGrid>
      <w:tr w:rsidR="00C63D60" w14:paraId="78AD4967" w14:textId="77777777">
        <w:trPr>
          <w:jc w:val="center"/>
        </w:trPr>
        <w:tc>
          <w:tcPr>
            <w:tcW w:w="608" w:type="dxa"/>
            <w:vAlign w:val="center"/>
          </w:tcPr>
          <w:p w14:paraId="140E2DA6" w14:textId="77777777" w:rsidR="00C63D60" w:rsidRDefault="00DB6421">
            <w:pPr>
              <w:tabs>
                <w:tab w:val="left" w:pos="-1980"/>
                <w:tab w:val="left" w:pos="4680"/>
                <w:tab w:val="left" w:pos="4961"/>
              </w:tabs>
              <w:jc w:val="both"/>
              <w:rPr>
                <w:b/>
              </w:rPr>
            </w:pPr>
            <w:r>
              <w:rPr>
                <w:b/>
              </w:rPr>
              <w:t>Pol.</w:t>
            </w:r>
          </w:p>
        </w:tc>
        <w:tc>
          <w:tcPr>
            <w:tcW w:w="5143" w:type="dxa"/>
            <w:vAlign w:val="center"/>
          </w:tcPr>
          <w:p w14:paraId="7EF9E62F" w14:textId="77777777" w:rsidR="00C63D60" w:rsidRDefault="00DB6421">
            <w:pPr>
              <w:tabs>
                <w:tab w:val="left" w:pos="-1980"/>
                <w:tab w:val="left" w:pos="4680"/>
                <w:tab w:val="left" w:pos="4961"/>
              </w:tabs>
              <w:jc w:val="both"/>
              <w:rPr>
                <w:b/>
              </w:rPr>
            </w:pPr>
            <w:r>
              <w:rPr>
                <w:b/>
              </w:rPr>
              <w:t>numele articolului</w:t>
            </w:r>
          </w:p>
        </w:tc>
        <w:tc>
          <w:tcPr>
            <w:tcW w:w="1701" w:type="dxa"/>
            <w:vAlign w:val="center"/>
          </w:tcPr>
          <w:p w14:paraId="540091B5" w14:textId="77777777" w:rsidR="00C63D60" w:rsidRDefault="00DB6421">
            <w:pPr>
              <w:spacing w:before="240"/>
              <w:jc w:val="center"/>
              <w:rPr>
                <w:b/>
              </w:rPr>
            </w:pPr>
            <w:r>
              <w:rPr>
                <w:b/>
              </w:rPr>
              <w:t>Mulinetă/tobă vm</w:t>
            </w:r>
          </w:p>
          <w:p w14:paraId="34E2B7AD" w14:textId="77777777" w:rsidR="00C63D60" w:rsidRDefault="00C63D60">
            <w:pPr>
              <w:tabs>
                <w:tab w:val="left" w:pos="-1980"/>
                <w:tab w:val="left" w:pos="4680"/>
                <w:tab w:val="left" w:pos="4961"/>
              </w:tabs>
              <w:jc w:val="center"/>
              <w:rPr>
                <w:b/>
              </w:rPr>
            </w:pPr>
          </w:p>
        </w:tc>
      </w:tr>
      <w:tr w:rsidR="00C63D60" w14:paraId="0231D049" w14:textId="77777777">
        <w:trPr>
          <w:jc w:val="center"/>
        </w:trPr>
        <w:tc>
          <w:tcPr>
            <w:tcW w:w="608" w:type="dxa"/>
            <w:vAlign w:val="center"/>
          </w:tcPr>
          <w:p w14:paraId="2AE5E14A" w14:textId="77777777" w:rsidR="00C63D60" w:rsidRDefault="00DB6421">
            <w:pPr>
              <w:tabs>
                <w:tab w:val="left" w:pos="-1980"/>
                <w:tab w:val="left" w:pos="4680"/>
                <w:tab w:val="left" w:pos="4961"/>
              </w:tabs>
              <w:jc w:val="center"/>
              <w:rPr>
                <w:sz w:val="22"/>
                <w:szCs w:val="22"/>
              </w:rPr>
            </w:pPr>
            <w:r>
              <w:rPr>
                <w:sz w:val="22"/>
                <w:szCs w:val="22"/>
              </w:rPr>
              <w:t>1.</w:t>
            </w:r>
          </w:p>
        </w:tc>
        <w:tc>
          <w:tcPr>
            <w:tcW w:w="5143" w:type="dxa"/>
            <w:vAlign w:val="bottom"/>
          </w:tcPr>
          <w:p w14:paraId="5000AAE0" w14:textId="77777777" w:rsidR="00C63D60" w:rsidRDefault="00DB6421">
            <w:pPr>
              <w:spacing w:line="276" w:lineRule="auto"/>
            </w:pPr>
            <w:r>
              <w:t>Cablu 22 kV NA2XS(F)2Y 1 x 150 RM/25</w:t>
            </w:r>
          </w:p>
        </w:tc>
        <w:tc>
          <w:tcPr>
            <w:tcW w:w="1701" w:type="dxa"/>
            <w:vAlign w:val="bottom"/>
          </w:tcPr>
          <w:p w14:paraId="44A828CB" w14:textId="77777777" w:rsidR="00C63D60" w:rsidRDefault="00DB6421">
            <w:pPr>
              <w:jc w:val="right"/>
              <w:rPr>
                <w:color w:val="000000"/>
              </w:rPr>
            </w:pPr>
            <w:r>
              <w:rPr>
                <w:color w:val="000000"/>
              </w:rPr>
              <w:t>1000</w:t>
            </w:r>
          </w:p>
        </w:tc>
      </w:tr>
      <w:tr w:rsidR="00C63D60" w14:paraId="748541BD" w14:textId="77777777">
        <w:trPr>
          <w:jc w:val="center"/>
        </w:trPr>
        <w:tc>
          <w:tcPr>
            <w:tcW w:w="608" w:type="dxa"/>
            <w:vAlign w:val="center"/>
          </w:tcPr>
          <w:p w14:paraId="4C104082" w14:textId="77777777" w:rsidR="00C63D60" w:rsidRDefault="00DB6421">
            <w:pPr>
              <w:tabs>
                <w:tab w:val="left" w:pos="-1980"/>
                <w:tab w:val="left" w:pos="4680"/>
                <w:tab w:val="left" w:pos="4961"/>
              </w:tabs>
              <w:jc w:val="center"/>
              <w:rPr>
                <w:sz w:val="22"/>
                <w:szCs w:val="22"/>
              </w:rPr>
            </w:pPr>
            <w:r>
              <w:rPr>
                <w:sz w:val="22"/>
                <w:szCs w:val="22"/>
              </w:rPr>
              <w:t>2.</w:t>
            </w:r>
          </w:p>
        </w:tc>
        <w:tc>
          <w:tcPr>
            <w:tcW w:w="5143" w:type="dxa"/>
            <w:vAlign w:val="bottom"/>
          </w:tcPr>
          <w:p w14:paraId="268799B7" w14:textId="77777777" w:rsidR="00C63D60" w:rsidRDefault="00DB6421">
            <w:pPr>
              <w:spacing w:line="276" w:lineRule="auto"/>
            </w:pPr>
            <w:r>
              <w:t>Cablu 22 kV NA2XS(F)2Y 1 x 240 RM/25</w:t>
            </w:r>
          </w:p>
        </w:tc>
        <w:tc>
          <w:tcPr>
            <w:tcW w:w="1701" w:type="dxa"/>
            <w:vAlign w:val="bottom"/>
          </w:tcPr>
          <w:p w14:paraId="3B20CDD5" w14:textId="77777777" w:rsidR="00C63D60" w:rsidRDefault="00DB6421">
            <w:pPr>
              <w:jc w:val="right"/>
              <w:rPr>
                <w:color w:val="000000"/>
              </w:rPr>
            </w:pPr>
            <w:r>
              <w:rPr>
                <w:color w:val="000000"/>
              </w:rPr>
              <w:t>800</w:t>
            </w:r>
          </w:p>
        </w:tc>
      </w:tr>
    </w:tbl>
    <w:p w14:paraId="3737D5F0" w14:textId="77777777" w:rsidR="00C63D60" w:rsidRDefault="00C63D60"/>
    <w:p w14:paraId="74172FC7" w14:textId="77777777" w:rsidR="00C63D60" w:rsidRDefault="00DB6421">
      <w:pPr>
        <w:jc w:val="both"/>
      </w:pPr>
      <w:r>
        <w:t xml:space="preserve">Lungimea de livrare a </w:t>
      </w:r>
      <w:r>
        <w:t>cablului trebuie să fie îndeplinită cu o abatere maximă de ± 1%. Livrarea de lungimi mai scurte este posibilă numai după acordul prealabil al părților</w:t>
      </w:r>
    </w:p>
    <w:p w14:paraId="3890CC18" w14:textId="77777777" w:rsidR="00C63D60" w:rsidRDefault="00C63D60"/>
    <w:p w14:paraId="25F296A7" w14:textId="06451EA5" w:rsidR="00C63D60" w:rsidRDefault="00DB6421">
      <w:r>
        <w:t>Ambalajul trebuie să îndeplinească obligațiile prevăzute în Legea nr. 477/2001 C</w:t>
      </w:r>
      <w:r w:rsidR="007D4068">
        <w:t>u</w:t>
      </w:r>
      <w:r>
        <w:t>l., privind ambalajele.</w:t>
      </w:r>
    </w:p>
    <w:p w14:paraId="668A47A7" w14:textId="77777777" w:rsidR="00C63D60" w:rsidRDefault="00C63D60"/>
    <w:p w14:paraId="61EBBA57" w14:textId="77777777" w:rsidR="00C63D60" w:rsidRDefault="00C63D60"/>
    <w:p w14:paraId="2B58924B" w14:textId="77777777" w:rsidR="00C63D60" w:rsidRDefault="00DB6421">
      <w:pPr>
        <w:rPr>
          <w:b/>
        </w:rPr>
      </w:pPr>
      <w:r>
        <w:rPr>
          <w:b/>
        </w:rPr>
        <w:t>Condiții de împrumut, returnare și plată a prețului ambalajului</w:t>
      </w:r>
    </w:p>
    <w:p w14:paraId="7FF1164B" w14:textId="77777777" w:rsidR="00C63D60" w:rsidRDefault="00C63D60"/>
    <w:p w14:paraId="5EF12D49" w14:textId="298C67F8" w:rsidR="00C63D60" w:rsidRDefault="00DB6421">
      <w:pPr>
        <w:spacing w:after="120"/>
        <w:jc w:val="both"/>
      </w:pPr>
      <w:r>
        <w:t xml:space="preserve">În cazul în care vânzătorul livrează </w:t>
      </w:r>
      <w:r w:rsidR="007D4068">
        <w:t>produsele</w:t>
      </w:r>
      <w:r>
        <w:t xml:space="preserve"> în ambalaje returnabile, adică pe tamburi de cablu returnabil</w:t>
      </w:r>
      <w:r w:rsidR="007D4068">
        <w:t>i</w:t>
      </w:r>
      <w:r>
        <w:t>, cumpărătorul are dreptul să le împrumute gratuit. Cumpărătorul este obligat s</w:t>
      </w:r>
      <w:r>
        <w:t xml:space="preserve">ă returneze vânzătorului ambalajul returnabil pe cheltuiala vânzătorului, în cel mult 18 luni de la scoaterea din depozitul de consignație, sau după încetarea contractului. Cumpărătorul va asigura ridicarea ambalajelor returnabile, care au fost livrate la </w:t>
      </w:r>
      <w:r>
        <w:t>locația din afara depozitului consignație la comanda cumpărătorului, înapoi la depozitul consignație.</w:t>
      </w:r>
    </w:p>
    <w:p w14:paraId="6563350A" w14:textId="538CCC20" w:rsidR="00C63D60" w:rsidRDefault="00DB6421">
      <w:pPr>
        <w:spacing w:after="120"/>
        <w:jc w:val="both"/>
      </w:pPr>
      <w:r>
        <w:t xml:space="preserve">În cazul în care ambalajul nu este returnat în termenul menționat mai sus, vânzătorul are dreptul de a factura ambalajul nereturnat. Suma </w:t>
      </w:r>
      <w:r>
        <w:t>facturată va corespunde prețu</w:t>
      </w:r>
      <w:r w:rsidR="007D4068">
        <w:t>lui</w:t>
      </w:r>
      <w:r>
        <w:t xml:space="preserve"> curent a tambur</w:t>
      </w:r>
      <w:r w:rsidR="007D4068">
        <w:t>ului</w:t>
      </w:r>
      <w:r>
        <w:t xml:space="preserve"> de cablu și va ține cont de vechimea și starea </w:t>
      </w:r>
      <w:r w:rsidR="007D4068">
        <w:t>acestuia</w:t>
      </w:r>
      <w:r>
        <w:t xml:space="preserve">, adică de prețul rezidual actual al valorii tamburului de cablu. Numărul de </w:t>
      </w:r>
      <w:r w:rsidR="007D4068">
        <w:t>ambalaje</w:t>
      </w:r>
      <w:r>
        <w:t xml:space="preserve"> nereturnate, cu indicarea tipurilor specifice de </w:t>
      </w:r>
      <w:r w:rsidR="007D4068">
        <w:t>ambalaje</w:t>
      </w:r>
      <w:r>
        <w:t xml:space="preserve"> și p</w:t>
      </w:r>
      <w:r>
        <w:t>rețul lor rezidual va fi convenit de către cumpărător înainte de facturare.</w:t>
      </w:r>
    </w:p>
    <w:sectPr w:rsidR="00C63D6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42ACF" w14:textId="77777777" w:rsidR="00A14874" w:rsidRDefault="00A14874">
      <w:r>
        <w:separator/>
      </w:r>
    </w:p>
  </w:endnote>
  <w:endnote w:type="continuationSeparator" w:id="0">
    <w:p w14:paraId="73E12B03" w14:textId="77777777" w:rsidR="00A14874" w:rsidRDefault="00A14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00ADF" w14:textId="77777777" w:rsidR="00C63D60" w:rsidRDefault="00C63D60">
    <w:pPr>
      <w:pBdr>
        <w:top w:val="nil"/>
        <w:left w:val="nil"/>
        <w:bottom w:val="nil"/>
        <w:right w:val="nil"/>
        <w:between w:val="nil"/>
      </w:pBdr>
      <w:tabs>
        <w:tab w:val="center" w:pos="4536"/>
        <w:tab w:val="right" w:pos="9072"/>
      </w:tabs>
      <w:rPr>
        <w:rFonts w:eastAsia="Arial" w:cs="Arial"/>
        <w:color w:val="00000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560DA" w14:textId="77777777" w:rsidR="00C63D60" w:rsidRDefault="00C63D60">
    <w:pPr>
      <w:pBdr>
        <w:top w:val="nil"/>
        <w:left w:val="nil"/>
        <w:bottom w:val="nil"/>
        <w:right w:val="nil"/>
        <w:between w:val="nil"/>
      </w:pBdr>
      <w:tabs>
        <w:tab w:val="center" w:pos="4536"/>
        <w:tab w:val="right" w:pos="9072"/>
      </w:tabs>
      <w:rPr>
        <w:rFonts w:eastAsia="Arial" w:cs="Arial"/>
        <w:color w:val="00000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656BB" w14:textId="77777777" w:rsidR="00C63D60" w:rsidRDefault="00C63D60">
    <w:pPr>
      <w:pBdr>
        <w:top w:val="nil"/>
        <w:left w:val="nil"/>
        <w:bottom w:val="nil"/>
        <w:right w:val="nil"/>
        <w:between w:val="nil"/>
      </w:pBdr>
      <w:tabs>
        <w:tab w:val="center" w:pos="4536"/>
        <w:tab w:val="right" w:pos="9072"/>
      </w:tabs>
      <w:rPr>
        <w:rFonts w:eastAsia="Arial" w:cs="Arial"/>
        <w:color w:val="00000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82511" w14:textId="77777777" w:rsidR="00A14874" w:rsidRDefault="00A14874">
      <w:r>
        <w:separator/>
      </w:r>
    </w:p>
  </w:footnote>
  <w:footnote w:type="continuationSeparator" w:id="0">
    <w:p w14:paraId="4451F405" w14:textId="77777777" w:rsidR="00A14874" w:rsidRDefault="00A148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9B8CC" w14:textId="77777777" w:rsidR="00C63D60" w:rsidRDefault="00C63D60">
    <w:pPr>
      <w:pBdr>
        <w:top w:val="nil"/>
        <w:left w:val="nil"/>
        <w:bottom w:val="nil"/>
        <w:right w:val="nil"/>
        <w:between w:val="nil"/>
      </w:pBdr>
      <w:tabs>
        <w:tab w:val="center" w:pos="4536"/>
        <w:tab w:val="right" w:pos="9072"/>
      </w:tabs>
      <w:rPr>
        <w:rFonts w:eastAsia="Arial" w:cs="Arial"/>
        <w:color w:val="00000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92155" w14:textId="77777777" w:rsidR="00536C72" w:rsidRDefault="00536C72" w:rsidP="00536C72">
    <w:pPr>
      <w:pBdr>
        <w:top w:val="nil"/>
        <w:left w:val="nil"/>
        <w:bottom w:val="nil"/>
        <w:right w:val="nil"/>
        <w:between w:val="nil"/>
      </w:pBdr>
      <w:tabs>
        <w:tab w:val="center" w:pos="4536"/>
        <w:tab w:val="right" w:pos="9072"/>
      </w:tabs>
      <w:jc w:val="right"/>
      <w:rPr>
        <w:rFonts w:eastAsia="Arial"/>
        <w:b/>
        <w:color w:val="000000"/>
        <w:sz w:val="18"/>
        <w:szCs w:val="18"/>
        <w:lang w:val="ro-RO"/>
      </w:rPr>
    </w:pPr>
    <w:proofErr w:type="spellStart"/>
    <w:r>
      <w:rPr>
        <w:rFonts w:eastAsia="Arial"/>
        <w:b/>
        <w:color w:val="000000"/>
        <w:sz w:val="18"/>
        <w:szCs w:val="18"/>
        <w:lang w:val="cs-CZ"/>
      </w:rPr>
      <w:t>Num</w:t>
    </w:r>
    <w:proofErr w:type="spellEnd"/>
    <w:r>
      <w:rPr>
        <w:rFonts w:eastAsia="Arial"/>
        <w:b/>
        <w:color w:val="000000"/>
        <w:sz w:val="18"/>
        <w:szCs w:val="18"/>
        <w:lang w:val="ro-RO"/>
      </w:rPr>
      <w:t xml:space="preserve">ărul de contract al cumpărătorului nr. 1: </w:t>
    </w:r>
    <w:r w:rsidRPr="003D42EB">
      <w:rPr>
        <w:rFonts w:eastAsia="Arial"/>
        <w:b/>
        <w:color w:val="000000"/>
        <w:sz w:val="18"/>
        <w:szCs w:val="18"/>
        <w:highlight w:val="yellow"/>
        <w:lang w:val="ro-RO"/>
      </w:rPr>
      <w:t>completează contractantul</w:t>
    </w:r>
  </w:p>
  <w:p w14:paraId="38E06F01" w14:textId="77777777" w:rsidR="00536C72" w:rsidRDefault="00536C72" w:rsidP="00536C72">
    <w:pPr>
      <w:pBdr>
        <w:top w:val="nil"/>
        <w:left w:val="nil"/>
        <w:bottom w:val="nil"/>
        <w:right w:val="nil"/>
        <w:between w:val="nil"/>
      </w:pBdr>
      <w:tabs>
        <w:tab w:val="center" w:pos="4536"/>
        <w:tab w:val="right" w:pos="9072"/>
      </w:tabs>
      <w:jc w:val="right"/>
      <w:rPr>
        <w:rFonts w:eastAsia="Arial"/>
        <w:b/>
        <w:color w:val="000000"/>
        <w:sz w:val="18"/>
        <w:szCs w:val="18"/>
        <w:lang w:val="ro-RO"/>
      </w:rPr>
    </w:pPr>
    <w:proofErr w:type="spellStart"/>
    <w:r>
      <w:rPr>
        <w:rFonts w:eastAsia="Arial"/>
        <w:b/>
        <w:color w:val="000000"/>
        <w:sz w:val="18"/>
        <w:szCs w:val="18"/>
        <w:lang w:val="cs-CZ"/>
      </w:rPr>
      <w:t>Num</w:t>
    </w:r>
    <w:proofErr w:type="spellEnd"/>
    <w:r>
      <w:rPr>
        <w:rFonts w:eastAsia="Arial"/>
        <w:b/>
        <w:color w:val="000000"/>
        <w:sz w:val="18"/>
        <w:szCs w:val="18"/>
        <w:lang w:val="ro-RO"/>
      </w:rPr>
      <w:t xml:space="preserve">ărul de contract al cumpărătorului nr. 2: </w:t>
    </w:r>
    <w:r w:rsidRPr="003D42EB">
      <w:rPr>
        <w:rFonts w:eastAsia="Arial"/>
        <w:b/>
        <w:color w:val="000000"/>
        <w:sz w:val="18"/>
        <w:szCs w:val="18"/>
        <w:highlight w:val="yellow"/>
        <w:lang w:val="ro-RO"/>
      </w:rPr>
      <w:t>completează contractantul</w:t>
    </w:r>
  </w:p>
  <w:p w14:paraId="28C6579A" w14:textId="5871F7F1" w:rsidR="00C63D60" w:rsidRPr="00536C72" w:rsidRDefault="00536C72" w:rsidP="00536C72">
    <w:pPr>
      <w:pBdr>
        <w:top w:val="nil"/>
        <w:left w:val="nil"/>
        <w:bottom w:val="nil"/>
        <w:right w:val="nil"/>
        <w:between w:val="nil"/>
      </w:pBdr>
      <w:tabs>
        <w:tab w:val="center" w:pos="4536"/>
        <w:tab w:val="right" w:pos="9072"/>
      </w:tabs>
      <w:jc w:val="right"/>
      <w:rPr>
        <w:rFonts w:eastAsia="Arial"/>
        <w:b/>
        <w:color w:val="000000"/>
        <w:sz w:val="18"/>
        <w:szCs w:val="18"/>
        <w:lang w:val="ro-RO"/>
      </w:rPr>
    </w:pPr>
    <w:proofErr w:type="spellStart"/>
    <w:r>
      <w:rPr>
        <w:rFonts w:eastAsia="Arial"/>
        <w:b/>
        <w:color w:val="000000"/>
        <w:sz w:val="18"/>
        <w:szCs w:val="18"/>
        <w:lang w:val="cs-CZ"/>
      </w:rPr>
      <w:t>Num</w:t>
    </w:r>
    <w:proofErr w:type="spellEnd"/>
    <w:r>
      <w:rPr>
        <w:rFonts w:eastAsia="Arial"/>
        <w:b/>
        <w:color w:val="000000"/>
        <w:sz w:val="18"/>
        <w:szCs w:val="18"/>
        <w:lang w:val="ro-RO"/>
      </w:rPr>
      <w:t xml:space="preserve">ărul de contract al vânzătorului: </w:t>
    </w:r>
    <w:r w:rsidRPr="003D42EB">
      <w:rPr>
        <w:rFonts w:eastAsia="Arial"/>
        <w:b/>
        <w:color w:val="000000"/>
        <w:sz w:val="18"/>
        <w:szCs w:val="18"/>
        <w:highlight w:val="green"/>
        <w:lang w:val="ro-RO"/>
      </w:rPr>
      <w:t>completează participantul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DCB64" w14:textId="77777777" w:rsidR="00C63D60" w:rsidRDefault="00C63D60">
    <w:pPr>
      <w:pBdr>
        <w:top w:val="nil"/>
        <w:left w:val="nil"/>
        <w:bottom w:val="nil"/>
        <w:right w:val="nil"/>
        <w:between w:val="nil"/>
      </w:pBdr>
      <w:tabs>
        <w:tab w:val="center" w:pos="4536"/>
        <w:tab w:val="right" w:pos="9072"/>
      </w:tabs>
      <w:rPr>
        <w:rFonts w:eastAsia="Arial" w:cs="Arial"/>
        <w:color w:val="00000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A94CE8"/>
    <w:multiLevelType w:val="multilevel"/>
    <w:tmpl w:val="434A02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969239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3D60"/>
    <w:rsid w:val="000434FB"/>
    <w:rsid w:val="00536C72"/>
    <w:rsid w:val="007D4068"/>
    <w:rsid w:val="00A14874"/>
    <w:rsid w:val="00C63D60"/>
    <w:rsid w:val="00DB6421"/>
    <w:rsid w:val="00F84F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01B44E"/>
  <w15:docId w15:val="{1080AF29-3C8E-4849-B5C1-636755144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ro"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E6D2A"/>
    <w:rPr>
      <w:rFonts w:eastAsia="Times New Roman" w:cs="Times New Roman"/>
      <w:szCs w:val="24"/>
    </w:rPr>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sz w:val="24"/>
    </w:rPr>
  </w:style>
  <w:style w:type="paragraph" w:styleId="Nadpis5">
    <w:name w:val="heading 5"/>
    <w:basedOn w:val="Normln"/>
    <w:next w:val="Normln"/>
    <w:uiPriority w:val="9"/>
    <w:semiHidden/>
    <w:unhideWhenUsed/>
    <w:qFormat/>
    <w:pPr>
      <w:keepNext/>
      <w:keepLines/>
      <w:spacing w:before="220" w:after="40"/>
      <w:outlineLvl w:val="4"/>
    </w:pPr>
    <w:rPr>
      <w:b/>
      <w:sz w:val="22"/>
      <w:szCs w:val="22"/>
    </w:rPr>
  </w:style>
  <w:style w:type="paragraph" w:styleId="Nadpis6">
    <w:name w:val="heading 6"/>
    <w:basedOn w:val="Normln"/>
    <w:next w:val="Normln"/>
    <w:uiPriority w:val="9"/>
    <w:semiHidden/>
    <w:unhideWhenUsed/>
    <w:qFormat/>
    <w:pPr>
      <w:keepNext/>
      <w:keepLines/>
      <w:spacing w:before="200" w:after="40"/>
      <w:outlineLvl w:val="5"/>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uiPriority w:val="10"/>
    <w:qFormat/>
    <w:pPr>
      <w:keepNext/>
      <w:keepLines/>
      <w:spacing w:before="480" w:after="120"/>
    </w:pPr>
    <w:rPr>
      <w:b/>
      <w:sz w:val="72"/>
      <w:szCs w:val="72"/>
    </w:rPr>
  </w:style>
  <w:style w:type="character" w:styleId="Odkaznakoment">
    <w:name w:val="annotation reference"/>
    <w:semiHidden/>
    <w:rsid w:val="00CE6D2A"/>
    <w:rPr>
      <w:rFonts w:cs="Times New Roman"/>
      <w:sz w:val="16"/>
      <w:szCs w:val="16"/>
    </w:rPr>
  </w:style>
  <w:style w:type="paragraph" w:styleId="Textkomente">
    <w:name w:val="annotation text"/>
    <w:basedOn w:val="Normln"/>
    <w:link w:val="TextkomenteChar"/>
    <w:semiHidden/>
    <w:rsid w:val="00CE6D2A"/>
    <w:rPr>
      <w:szCs w:val="20"/>
    </w:rPr>
  </w:style>
  <w:style w:type="character" w:customStyle="1" w:styleId="TextkomenteChar">
    <w:name w:val="Text komentáře Char"/>
    <w:basedOn w:val="Standardnpsmoodstavce"/>
    <w:link w:val="Textkomente"/>
    <w:semiHidden/>
    <w:rsid w:val="00CE6D2A"/>
    <w:rPr>
      <w:rFonts w:ascii="Arial" w:eastAsia="Times New Roman" w:hAnsi="Arial" w:cs="Times New Roman"/>
      <w:sz w:val="20"/>
      <w:szCs w:val="20"/>
      <w:lang w:val="ro" w:eastAsia="cs-CZ"/>
    </w:rPr>
  </w:style>
  <w:style w:type="paragraph" w:styleId="Textbubliny">
    <w:name w:val="Balloon Text"/>
    <w:basedOn w:val="Normln"/>
    <w:link w:val="TextbublinyChar"/>
    <w:uiPriority w:val="99"/>
    <w:semiHidden/>
    <w:unhideWhenUsed/>
    <w:rsid w:val="00CE6D2A"/>
    <w:rPr>
      <w:rFonts w:ascii="Tahoma" w:hAnsi="Tahoma" w:cs="Tahoma"/>
      <w:sz w:val="16"/>
      <w:szCs w:val="16"/>
    </w:rPr>
  </w:style>
  <w:style w:type="character" w:customStyle="1" w:styleId="TextbublinyChar">
    <w:name w:val="Text bubliny Char"/>
    <w:basedOn w:val="Standardnpsmoodstavce"/>
    <w:link w:val="Textbubliny"/>
    <w:uiPriority w:val="99"/>
    <w:semiHidden/>
    <w:rsid w:val="00CE6D2A"/>
    <w:rPr>
      <w:rFonts w:ascii="Tahoma" w:eastAsia="Times New Roman" w:hAnsi="Tahoma" w:cs="Tahoma"/>
      <w:sz w:val="16"/>
      <w:szCs w:val="16"/>
      <w:lang w:val="ro" w:eastAsia="cs-CZ"/>
    </w:rPr>
  </w:style>
  <w:style w:type="paragraph" w:styleId="Zhlav">
    <w:name w:val="header"/>
    <w:basedOn w:val="Normln"/>
    <w:link w:val="ZhlavChar"/>
    <w:unhideWhenUsed/>
    <w:rsid w:val="00CE6D2A"/>
    <w:pPr>
      <w:tabs>
        <w:tab w:val="center" w:pos="4536"/>
        <w:tab w:val="right" w:pos="9072"/>
      </w:tabs>
    </w:pPr>
  </w:style>
  <w:style w:type="character" w:customStyle="1" w:styleId="ZhlavChar">
    <w:name w:val="Záhlaví Char"/>
    <w:basedOn w:val="Standardnpsmoodstavce"/>
    <w:link w:val="Zhlav"/>
    <w:rsid w:val="00CE6D2A"/>
    <w:rPr>
      <w:rFonts w:ascii="Arial" w:eastAsia="Times New Roman" w:hAnsi="Arial" w:cs="Times New Roman"/>
      <w:sz w:val="20"/>
      <w:szCs w:val="24"/>
      <w:lang w:val="ro" w:eastAsia="cs-CZ"/>
    </w:rPr>
  </w:style>
  <w:style w:type="paragraph" w:styleId="Zpat">
    <w:name w:val="footer"/>
    <w:basedOn w:val="Normln"/>
    <w:link w:val="ZpatChar"/>
    <w:uiPriority w:val="99"/>
    <w:unhideWhenUsed/>
    <w:rsid w:val="00CE6D2A"/>
    <w:pPr>
      <w:tabs>
        <w:tab w:val="center" w:pos="4536"/>
        <w:tab w:val="right" w:pos="9072"/>
      </w:tabs>
    </w:pPr>
  </w:style>
  <w:style w:type="character" w:customStyle="1" w:styleId="ZpatChar">
    <w:name w:val="Zápatí Char"/>
    <w:basedOn w:val="Standardnpsmoodstavce"/>
    <w:link w:val="Zpat"/>
    <w:uiPriority w:val="99"/>
    <w:rsid w:val="00CE6D2A"/>
    <w:rPr>
      <w:rFonts w:ascii="Arial" w:eastAsia="Times New Roman" w:hAnsi="Arial" w:cs="Times New Roman"/>
      <w:sz w:val="20"/>
      <w:szCs w:val="24"/>
      <w:lang w:val="ro" w:eastAsia="cs-CZ"/>
    </w:rPr>
  </w:style>
  <w:style w:type="paragraph" w:styleId="Pedmtkomente">
    <w:name w:val="annotation subject"/>
    <w:basedOn w:val="Textkomente"/>
    <w:next w:val="Textkomente"/>
    <w:link w:val="PedmtkomenteChar"/>
    <w:uiPriority w:val="99"/>
    <w:semiHidden/>
    <w:unhideWhenUsed/>
    <w:rsid w:val="00A64A73"/>
    <w:rPr>
      <w:b/>
      <w:bCs/>
    </w:rPr>
  </w:style>
  <w:style w:type="character" w:customStyle="1" w:styleId="PedmtkomenteChar">
    <w:name w:val="Předmět komentáře Char"/>
    <w:basedOn w:val="TextkomenteChar"/>
    <w:link w:val="Pedmtkomente"/>
    <w:uiPriority w:val="99"/>
    <w:semiHidden/>
    <w:rsid w:val="00A64A73"/>
    <w:rPr>
      <w:rFonts w:ascii="Arial" w:eastAsia="Times New Roman" w:hAnsi="Arial" w:cs="Times New Roman"/>
      <w:b/>
      <w:bCs/>
      <w:sz w:val="20"/>
      <w:szCs w:val="20"/>
      <w:lang w:val="ro" w:eastAsia="cs-CZ"/>
    </w:rPr>
  </w:style>
  <w:style w:type="character" w:customStyle="1" w:styleId="nadpisclanku1">
    <w:name w:val="nadpis_clanku1"/>
    <w:rsid w:val="00D40C41"/>
    <w:rPr>
      <w:rFonts w:ascii="Arial" w:hAnsi="Arial" w:cs="Arial" w:hint="default"/>
      <w:b/>
      <w:bCs/>
      <w:color w:val="000000"/>
      <w:sz w:val="20"/>
      <w:szCs w:val="20"/>
    </w:rPr>
  </w:style>
  <w:style w:type="paragraph" w:styleId="Odstavecseseznamem">
    <w:name w:val="List Paragraph"/>
    <w:basedOn w:val="Normln"/>
    <w:uiPriority w:val="34"/>
    <w:qFormat/>
    <w:rsid w:val="00D40C41"/>
    <w:pPr>
      <w:ind w:left="708"/>
    </w:p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Normlntabulka"/>
    <w:tblPr>
      <w:tblStyleRowBandSize w:val="1"/>
      <w:tblStyleColBandSize w:val="1"/>
      <w:tblCellMar>
        <w:left w:w="10" w:type="dxa"/>
        <w:right w:w="1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c43moBOkbNz+llyQfQD47d+wYvg==">AMUW2mXoDMclNRs4RFRVXuuhzgt5GNjj0Hpo9sBrmS9VksygVfgP/JYKpk5EI04pfNJwR4FqImfE7KzPCUU0zzqBMCeSlBvauq6rqCuOtMNl6h4d2BMM1dQ=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Pages>
  <Words>408</Words>
  <Characters>2413</Characters>
  <Application>Microsoft Office Word</Application>
  <DocSecurity>4</DocSecurity>
  <Lines>20</Lines>
  <Paragraphs>5</Paragraphs>
  <ScaleCrop>false</ScaleCrop>
  <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dcterms:created xsi:type="dcterms:W3CDTF">2023-10-05T08:20:00Z</dcterms:created>
  <dcterms:modified xsi:type="dcterms:W3CDTF">2023-10-05T08:20:00Z</dcterms:modified>
</cp:coreProperties>
</file>