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A2709" w14:textId="77777777" w:rsidR="00BA7613" w:rsidRDefault="00BA7613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</w:p>
    <w:p w14:paraId="7C1DDE64" w14:textId="77777777" w:rsidR="00BA7613" w:rsidRDefault="00BA7613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</w:p>
    <w:p w14:paraId="00000001" w14:textId="678889DD" w:rsidR="008F1FE8" w:rsidRDefault="00D224A8">
      <w:pPr>
        <w:tabs>
          <w:tab w:val="left" w:pos="-1980"/>
          <w:tab w:val="left" w:pos="4680"/>
          <w:tab w:val="left" w:pos="4961"/>
        </w:tabs>
        <w:jc w:val="center"/>
        <w:rPr>
          <w:b/>
          <w:u w:val="single"/>
        </w:rPr>
      </w:pPr>
      <w:r>
        <w:rPr>
          <w:b/>
          <w:u w:val="single"/>
        </w:rPr>
        <w:t>Anexa 7</w:t>
      </w:r>
    </w:p>
    <w:p w14:paraId="00000002" w14:textId="342A46D8" w:rsidR="008F1FE8" w:rsidRDefault="00D224A8">
      <w:pPr>
        <w:tabs>
          <w:tab w:val="left" w:pos="-1980"/>
          <w:tab w:val="left" w:pos="4680"/>
          <w:tab w:val="left" w:pos="4961"/>
        </w:tabs>
        <w:jc w:val="center"/>
        <w:rPr>
          <w:b/>
        </w:rPr>
      </w:pPr>
      <w:r>
        <w:rPr>
          <w:b/>
        </w:rPr>
        <w:t xml:space="preserve">Algoritm pentru calcularea prețului </w:t>
      </w:r>
      <w:r w:rsidR="00A16FCE">
        <w:rPr>
          <w:b/>
        </w:rPr>
        <w:t>brut</w:t>
      </w:r>
      <w:r>
        <w:rPr>
          <w:b/>
        </w:rPr>
        <w:t xml:space="preserve"> actualizat</w:t>
      </w:r>
    </w:p>
    <w:p w14:paraId="00000003" w14:textId="77777777" w:rsidR="008F1FE8" w:rsidRDefault="008F1FE8">
      <w:pPr>
        <w:tabs>
          <w:tab w:val="left" w:pos="-1980"/>
          <w:tab w:val="left" w:pos="4680"/>
          <w:tab w:val="left" w:pos="4961"/>
        </w:tabs>
        <w:jc w:val="center"/>
        <w:rPr>
          <w:sz w:val="22"/>
          <w:szCs w:val="22"/>
        </w:rPr>
      </w:pPr>
    </w:p>
    <w:p w14:paraId="00000004" w14:textId="77777777" w:rsidR="008F1FE8" w:rsidRDefault="008F1FE8">
      <w:pPr>
        <w:tabs>
          <w:tab w:val="left" w:pos="-1980"/>
          <w:tab w:val="left" w:pos="4961"/>
        </w:tabs>
        <w:jc w:val="center"/>
        <w:rPr>
          <w:sz w:val="22"/>
          <w:szCs w:val="22"/>
        </w:rPr>
      </w:pPr>
    </w:p>
    <w:p w14:paraId="00000005" w14:textId="516A2F33" w:rsidR="008F1FE8" w:rsidRPr="00BA7613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b/>
          <w:bCs/>
          <w:color w:val="000000"/>
          <w:sz w:val="26"/>
          <w:szCs w:val="26"/>
        </w:rPr>
      </w:pPr>
      <w:bookmarkStart w:id="0" w:name="_heading=h.gjdgxs" w:colFirst="0" w:colLast="0"/>
      <w:bookmarkEnd w:id="0"/>
      <w:r w:rsidRPr="00BA7613">
        <w:rPr>
          <w:rFonts w:eastAsia="Arial"/>
          <w:b/>
          <w:bCs/>
          <w:color w:val="000000"/>
          <w:sz w:val="40"/>
          <w:szCs w:val="40"/>
        </w:rPr>
        <w:t xml:space="preserve">  </w:t>
      </w:r>
      <m:oMath>
        <m:sSub>
          <m:sSubPr>
            <m:ctrlPr>
              <w:rPr>
                <w:rFonts w:ascii="Cambria Math" w:eastAsia="Cambria Math" w:hAnsi="Cambria Math" w:cs="Cambria Math"/>
                <w:b/>
                <w:bCs/>
                <w:color w:val="000000"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>1</m:t>
            </m:r>
          </m:sub>
        </m:sSub>
        <m:r>
          <m:rPr>
            <m:sty m:val="bi"/>
          </m:rPr>
          <w:rPr>
            <w:rFonts w:ascii="Cambria Math" w:eastAsia="Cambria Math" w:hAnsi="Cambria Math" w:cs="Cambria Math"/>
            <w:color w:val="000000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eastAsia="Cambria Math" w:hAnsi="Cambria Math" w:cs="Cambria Math"/>
                <w:b/>
                <w:bCs/>
                <w:color w:val="000000"/>
                <w:sz w:val="26"/>
                <w:szCs w:val="26"/>
              </w:rPr>
            </m:ctrlPr>
          </m:sSubPr>
          <m:e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 xml:space="preserve">0 </m:t>
            </m:r>
          </m:sub>
        </m:sSub>
        <m:r>
          <m:rPr>
            <m:sty m:val="bi"/>
          </m:rPr>
          <w:rPr>
            <w:rFonts w:ascii="Cambria Math" w:eastAsia="Cambria Math" w:hAnsi="Cambria Math" w:cs="Cambria Math"/>
            <w:color w:val="000000"/>
            <w:sz w:val="26"/>
            <w:szCs w:val="26"/>
          </w:rPr>
          <m:t>∙(</m:t>
        </m:r>
        <m:d>
          <m:dPr>
            <m:ctrlPr>
              <w:rPr>
                <w:rFonts w:ascii="Cambria Math" w:eastAsia="Cambria Math" w:hAnsi="Cambria Math" w:cs="Cambria Math"/>
                <w:b/>
                <w:bCs/>
                <w:color w:val="000000"/>
                <w:sz w:val="26"/>
                <w:szCs w:val="26"/>
              </w:rPr>
            </m:ctrlPr>
          </m:dPr>
          <m:e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>1-a</m:t>
            </m:r>
          </m:e>
        </m:d>
        <m:r>
          <m:rPr>
            <m:sty m:val="bi"/>
          </m:rPr>
          <w:rPr>
            <w:rFonts w:ascii="Cambria Math" w:eastAsia="Cambria Math" w:hAnsi="Cambria Math" w:cs="Cambria Math"/>
            <w:color w:val="000000"/>
            <w:sz w:val="26"/>
            <w:szCs w:val="26"/>
          </w:rPr>
          <m:t>+a ∙</m:t>
        </m:r>
        <m:f>
          <m:fPr>
            <m:ctrlPr>
              <w:rPr>
                <w:rFonts w:ascii="Cambria Math" w:eastAsia="Cambria Math" w:hAnsi="Cambria Math" w:cs="Cambria Math"/>
                <w:b/>
                <w:bCs/>
                <w:color w:val="000000"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eastAsia="Cambria Math" w:hAnsi="Cambria Math" w:cs="Cambria Math"/>
                <w:color w:val="000000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eastAsia="Cambria Math" w:hAnsi="Cambria Math" w:cs="Cambria Math"/>
                    <w:b/>
                    <w:bCs/>
                    <w:color w:val="000000"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eastAsia="Cambria Math" w:hAnsi="Cambria Math" w:cs="Cambria Math"/>
                    <w:b/>
                    <w:bCs/>
                    <w:color w:val="000000"/>
                    <w:sz w:val="26"/>
                    <w:szCs w:val="26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color w:val="000000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i"/>
          </m:rPr>
          <w:rPr>
            <w:rFonts w:ascii="Cambria Math" w:eastAsia="Cambria Math" w:hAnsi="Cambria Math" w:cs="Cambria Math"/>
            <w:color w:val="000000"/>
            <w:sz w:val="26"/>
            <w:szCs w:val="26"/>
          </w:rPr>
          <m:t>)</m:t>
        </m:r>
      </m:oMath>
    </w:p>
    <w:p w14:paraId="00000006" w14:textId="77777777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jc w:val="center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 </w:t>
      </w:r>
    </w:p>
    <w:p w14:paraId="00000007" w14:textId="77777777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   </w:t>
      </w:r>
    </w:p>
    <w:p w14:paraId="00000008" w14:textId="33F350E5" w:rsidR="008F1FE8" w:rsidRDefault="00A16FCE" w:rsidP="00A16FC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eastAsia="Arial"/>
          <w:color w:val="000000"/>
          <w:sz w:val="22"/>
          <w:szCs w:val="22"/>
        </w:rPr>
        <w:t xml:space="preserve">a   </w:t>
      </w:r>
      <w:r>
        <w:rPr>
          <w:rFonts w:eastAsia="Arial"/>
          <w:color w:val="000000"/>
          <w:sz w:val="22"/>
          <w:szCs w:val="22"/>
          <w:lang w:val="cs-CZ"/>
        </w:rPr>
        <w:t xml:space="preserve">partea </w:t>
      </w:r>
      <w:r>
        <w:rPr>
          <w:rFonts w:eastAsia="Arial"/>
          <w:color w:val="000000"/>
          <w:sz w:val="22"/>
          <w:szCs w:val="22"/>
        </w:rPr>
        <w:t>PE în prețul brut, a=0,</w:t>
      </w:r>
      <w:r w:rsidR="00111C47">
        <w:rPr>
          <w:rFonts w:eastAsia="Arial"/>
          <w:color w:val="000000"/>
          <w:sz w:val="22"/>
          <w:szCs w:val="22"/>
        </w:rPr>
        <w:t>4</w:t>
      </w:r>
    </w:p>
    <w:p w14:paraId="00000009" w14:textId="42B34005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</w:t>
      </w:r>
      <w:r>
        <w:rPr>
          <w:rFonts w:eastAsia="Arial"/>
          <w:color w:val="000000"/>
          <w:sz w:val="22"/>
          <w:szCs w:val="22"/>
          <w:vertAlign w:val="subscript"/>
        </w:rPr>
        <w:t xml:space="preserve">1 </w:t>
      </w:r>
      <w:r w:rsidR="00A16FCE">
        <w:rPr>
          <w:rFonts w:eastAsia="Arial"/>
          <w:color w:val="000000"/>
          <w:sz w:val="22"/>
          <w:szCs w:val="22"/>
          <w:vertAlign w:val="subscript"/>
        </w:rPr>
        <w:t xml:space="preserve"> </w:t>
      </w:r>
      <w:r>
        <w:rPr>
          <w:rFonts w:eastAsia="Arial"/>
          <w:color w:val="000000"/>
          <w:sz w:val="22"/>
          <w:szCs w:val="22"/>
        </w:rPr>
        <w:t xml:space="preserve">preț </w:t>
      </w:r>
      <w:r w:rsidR="00A16FCE">
        <w:rPr>
          <w:rFonts w:eastAsia="Arial"/>
          <w:color w:val="000000"/>
          <w:sz w:val="22"/>
          <w:szCs w:val="22"/>
        </w:rPr>
        <w:t>brut</w:t>
      </w:r>
      <w:r>
        <w:rPr>
          <w:rFonts w:eastAsia="Arial"/>
          <w:color w:val="000000"/>
          <w:sz w:val="22"/>
          <w:szCs w:val="22"/>
        </w:rPr>
        <w:t xml:space="preserve"> actualizat</w:t>
      </w:r>
    </w:p>
    <w:p w14:paraId="0000000A" w14:textId="66E493A9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  <w:u w:val="single"/>
        </w:rPr>
      </w:pPr>
      <w:r>
        <w:rPr>
          <w:rFonts w:eastAsia="Arial"/>
          <w:color w:val="000000"/>
          <w:sz w:val="22"/>
          <w:szCs w:val="22"/>
        </w:rPr>
        <w:t>P</w:t>
      </w:r>
      <w:r>
        <w:rPr>
          <w:rFonts w:eastAsia="Arial"/>
          <w:color w:val="000000"/>
          <w:sz w:val="22"/>
          <w:szCs w:val="22"/>
          <w:vertAlign w:val="subscript"/>
        </w:rPr>
        <w:t xml:space="preserve">0 </w:t>
      </w:r>
      <w:r w:rsidR="00A16FCE">
        <w:rPr>
          <w:rFonts w:eastAsia="Arial"/>
          <w:color w:val="000000"/>
          <w:sz w:val="22"/>
          <w:szCs w:val="22"/>
          <w:vertAlign w:val="subscript"/>
        </w:rPr>
        <w:t xml:space="preserve"> </w:t>
      </w:r>
      <w:r>
        <w:rPr>
          <w:rFonts w:eastAsia="Arial"/>
          <w:color w:val="000000"/>
          <w:sz w:val="22"/>
          <w:szCs w:val="22"/>
        </w:rPr>
        <w:t>preț</w:t>
      </w:r>
      <w:r w:rsidR="00A16FCE">
        <w:rPr>
          <w:rFonts w:eastAsia="Arial"/>
          <w:color w:val="000000"/>
          <w:sz w:val="22"/>
          <w:szCs w:val="22"/>
        </w:rPr>
        <w:t>ul</w:t>
      </w:r>
      <w:r>
        <w:rPr>
          <w:rFonts w:eastAsia="Arial"/>
          <w:color w:val="000000"/>
          <w:sz w:val="22"/>
          <w:szCs w:val="22"/>
        </w:rPr>
        <w:t xml:space="preserve"> de bază </w:t>
      </w:r>
      <w:r w:rsidR="00A16FCE">
        <w:rPr>
          <w:rFonts w:eastAsia="Arial"/>
          <w:color w:val="000000"/>
          <w:sz w:val="22"/>
          <w:szCs w:val="22"/>
        </w:rPr>
        <w:t>brut ofertat</w:t>
      </w:r>
      <w:r>
        <w:rPr>
          <w:rFonts w:eastAsia="Arial"/>
          <w:color w:val="000000"/>
          <w:sz w:val="22"/>
          <w:szCs w:val="22"/>
        </w:rPr>
        <w:t xml:space="preserve">, vezi </w:t>
      </w:r>
      <w:r>
        <w:rPr>
          <w:rFonts w:eastAsia="Arial"/>
          <w:color w:val="000000"/>
          <w:sz w:val="22"/>
          <w:szCs w:val="22"/>
          <w:u w:val="single"/>
        </w:rPr>
        <w:t>Anexa 1</w:t>
      </w:r>
    </w:p>
    <w:p w14:paraId="0000000B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  <w:u w:val="single"/>
        </w:rPr>
      </w:pPr>
    </w:p>
    <w:p w14:paraId="0000000C" w14:textId="77777777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  <w:u w:val="single"/>
        </w:rPr>
        <w:t>LV</w:t>
      </w:r>
    </w:p>
    <w:p w14:paraId="0000000D" w14:textId="5B1B66EA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M</w:t>
      </w:r>
      <w:r>
        <w:rPr>
          <w:rFonts w:eastAsia="Arial"/>
          <w:color w:val="000000"/>
          <w:sz w:val="22"/>
          <w:szCs w:val="22"/>
          <w:vertAlign w:val="subscript"/>
        </w:rPr>
        <w:t xml:space="preserve">1 </w:t>
      </w:r>
      <w:r w:rsidR="00A16FCE">
        <w:rPr>
          <w:rFonts w:eastAsia="Arial"/>
          <w:color w:val="000000"/>
          <w:sz w:val="22"/>
          <w:szCs w:val="22"/>
          <w:vertAlign w:val="subscript"/>
        </w:rPr>
        <w:tab/>
      </w:r>
      <w:r>
        <w:rPr>
          <w:rFonts w:eastAsia="Arial"/>
          <w:color w:val="000000"/>
          <w:sz w:val="22"/>
          <w:szCs w:val="22"/>
        </w:rPr>
        <w:t xml:space="preserve">diametru S-PVC(P) </w:t>
      </w:r>
      <w:r w:rsidR="00A16FCE">
        <w:rPr>
          <w:sz w:val="22"/>
          <w:szCs w:val="20"/>
        </w:rPr>
        <w:t xml:space="preserve">Compound </w:t>
      </w:r>
      <w:r>
        <w:rPr>
          <w:rFonts w:eastAsia="Arial"/>
          <w:color w:val="000000"/>
          <w:sz w:val="22"/>
          <w:szCs w:val="22"/>
        </w:rPr>
        <w:t xml:space="preserve">și S PVC </w:t>
      </w:r>
      <w:r w:rsidR="00A16FCE">
        <w:rPr>
          <w:rFonts w:eastAsia="Arial"/>
          <w:color w:val="000000"/>
          <w:sz w:val="22"/>
          <w:szCs w:val="22"/>
        </w:rPr>
        <w:t>Basis</w:t>
      </w:r>
      <w:r>
        <w:rPr>
          <w:rFonts w:eastAsia="Arial"/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valabilă</w:t>
      </w:r>
      <w:r>
        <w:rPr>
          <w:rFonts w:eastAsia="Arial"/>
          <w:color w:val="000000"/>
          <w:sz w:val="22"/>
          <w:szCs w:val="22"/>
        </w:rPr>
        <w:t xml:space="preserve"> la data actualizării prețului</w:t>
      </w:r>
    </w:p>
    <w:p w14:paraId="0000000E" w14:textId="2640FE33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851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M</w:t>
      </w:r>
      <w:r>
        <w:rPr>
          <w:rFonts w:eastAsia="Arial"/>
          <w:color w:val="000000"/>
          <w:sz w:val="22"/>
          <w:szCs w:val="22"/>
          <w:vertAlign w:val="subscript"/>
        </w:rPr>
        <w:t xml:space="preserve">0 </w:t>
      </w:r>
      <w:r w:rsidR="00A16FCE">
        <w:rPr>
          <w:rFonts w:eastAsia="Arial"/>
          <w:color w:val="000000"/>
          <w:sz w:val="22"/>
          <w:szCs w:val="22"/>
          <w:vertAlign w:val="subscript"/>
        </w:rPr>
        <w:t xml:space="preserve">      </w:t>
      </w:r>
      <w:r>
        <w:rPr>
          <w:rFonts w:eastAsia="Arial"/>
          <w:color w:val="000000"/>
          <w:sz w:val="22"/>
          <w:szCs w:val="22"/>
        </w:rPr>
        <w:t xml:space="preserve">diametru S-PVC(P) </w:t>
      </w:r>
      <w:r w:rsidR="00A16FCE">
        <w:rPr>
          <w:sz w:val="22"/>
          <w:szCs w:val="20"/>
        </w:rPr>
        <w:t xml:space="preserve">Compound </w:t>
      </w:r>
      <w:r>
        <w:rPr>
          <w:rFonts w:eastAsia="Arial"/>
          <w:color w:val="000000"/>
          <w:sz w:val="22"/>
          <w:szCs w:val="22"/>
        </w:rPr>
        <w:t xml:space="preserve">și S PVC </w:t>
      </w:r>
      <w:r w:rsidR="00A16FCE">
        <w:rPr>
          <w:rFonts w:eastAsia="Arial"/>
          <w:color w:val="000000"/>
          <w:sz w:val="22"/>
          <w:szCs w:val="22"/>
        </w:rPr>
        <w:t xml:space="preserve">Basis </w:t>
      </w:r>
      <w:r>
        <w:rPr>
          <w:rFonts w:eastAsia="Arial"/>
          <w:color w:val="000000"/>
          <w:sz w:val="22"/>
          <w:szCs w:val="22"/>
        </w:rPr>
        <w:t xml:space="preserve">valabilă </w:t>
      </w:r>
      <w:r w:rsidR="00BA7613">
        <w:rPr>
          <w:rFonts w:eastAsia="Arial"/>
          <w:color w:val="000000"/>
          <w:sz w:val="22"/>
          <w:szCs w:val="22"/>
        </w:rPr>
        <w:t>la 0</w:t>
      </w:r>
      <w:r w:rsidR="001501D3">
        <w:rPr>
          <w:rFonts w:eastAsia="Arial"/>
          <w:color w:val="000000"/>
          <w:sz w:val="22"/>
          <w:szCs w:val="22"/>
        </w:rPr>
        <w:t>9</w:t>
      </w:r>
      <w:r w:rsidR="00BA7613">
        <w:rPr>
          <w:rFonts w:eastAsia="Arial"/>
          <w:color w:val="000000"/>
          <w:sz w:val="22"/>
          <w:szCs w:val="22"/>
        </w:rPr>
        <w:t>/2023</w:t>
      </w:r>
      <w:r>
        <w:rPr>
          <w:rFonts w:eastAsia="Arial"/>
          <w:color w:val="000000"/>
          <w:sz w:val="22"/>
          <w:szCs w:val="22"/>
        </w:rPr>
        <w:t xml:space="preserve"> (preț de bază) în valoare de </w:t>
      </w:r>
      <w:r w:rsidR="00BA7613">
        <w:rPr>
          <w:rFonts w:eastAsia="Arial"/>
          <w:color w:val="000000"/>
          <w:sz w:val="22"/>
          <w:szCs w:val="22"/>
        </w:rPr>
        <w:t>1 </w:t>
      </w:r>
      <w:r w:rsidR="0004730F">
        <w:rPr>
          <w:rFonts w:eastAsia="Arial"/>
          <w:color w:val="000000"/>
          <w:sz w:val="22"/>
          <w:szCs w:val="22"/>
        </w:rPr>
        <w:t>825</w:t>
      </w:r>
    </w:p>
    <w:p w14:paraId="0000000F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851"/>
        <w:rPr>
          <w:rFonts w:eastAsia="Arial"/>
          <w:color w:val="000000"/>
          <w:sz w:val="22"/>
          <w:szCs w:val="22"/>
        </w:rPr>
      </w:pPr>
    </w:p>
    <w:p w14:paraId="00000010" w14:textId="77777777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851"/>
        <w:rPr>
          <w:rFonts w:eastAsia="Arial"/>
          <w:color w:val="000000"/>
          <w:sz w:val="22"/>
          <w:szCs w:val="22"/>
          <w:u w:val="single"/>
        </w:rPr>
      </w:pPr>
      <w:r>
        <w:rPr>
          <w:rFonts w:eastAsia="Arial"/>
          <w:color w:val="000000"/>
          <w:sz w:val="22"/>
          <w:szCs w:val="22"/>
          <w:u w:val="single"/>
        </w:rPr>
        <w:t>MV</w:t>
      </w:r>
    </w:p>
    <w:p w14:paraId="00000011" w14:textId="5C21997F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M</w:t>
      </w:r>
      <w:r>
        <w:rPr>
          <w:rFonts w:eastAsia="Arial"/>
          <w:color w:val="000000"/>
          <w:sz w:val="22"/>
          <w:szCs w:val="22"/>
          <w:vertAlign w:val="subscript"/>
        </w:rPr>
        <w:t xml:space="preserve">1 </w:t>
      </w:r>
      <w:r w:rsidR="00A16FCE">
        <w:rPr>
          <w:rFonts w:eastAsia="Arial"/>
          <w:color w:val="000000"/>
          <w:sz w:val="22"/>
          <w:szCs w:val="22"/>
          <w:vertAlign w:val="subscript"/>
        </w:rPr>
        <w:tab/>
      </w:r>
      <w:r>
        <w:rPr>
          <w:rFonts w:eastAsia="Arial"/>
          <w:color w:val="000000"/>
          <w:sz w:val="22"/>
          <w:szCs w:val="22"/>
        </w:rPr>
        <w:t xml:space="preserve">diametru PE-HD Rohr 100 și </w:t>
      </w:r>
      <w:r w:rsidR="00A16FCE">
        <w:rPr>
          <w:rFonts w:eastAsia="Arial"/>
          <w:color w:val="000000"/>
          <w:sz w:val="22"/>
          <w:szCs w:val="22"/>
        </w:rPr>
        <w:t>Ethylen</w:t>
      </w:r>
      <w:r>
        <w:rPr>
          <w:rFonts w:eastAsia="Arial"/>
          <w:color w:val="000000"/>
          <w:sz w:val="22"/>
          <w:szCs w:val="22"/>
        </w:rPr>
        <w:t xml:space="preserve"> (C2) Contract valabil la data actualizării prețului</w:t>
      </w:r>
    </w:p>
    <w:p w14:paraId="00000012" w14:textId="71548098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left="851" w:hanging="851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M</w:t>
      </w:r>
      <w:r>
        <w:rPr>
          <w:rFonts w:eastAsia="Arial"/>
          <w:color w:val="000000"/>
          <w:sz w:val="22"/>
          <w:szCs w:val="22"/>
          <w:vertAlign w:val="subscript"/>
        </w:rPr>
        <w:t xml:space="preserve">0 </w:t>
      </w:r>
      <w:r w:rsidR="00A16FCE">
        <w:rPr>
          <w:rFonts w:eastAsia="Arial"/>
          <w:color w:val="000000"/>
          <w:sz w:val="22"/>
          <w:szCs w:val="22"/>
          <w:vertAlign w:val="subscript"/>
        </w:rPr>
        <w:t xml:space="preserve"> </w:t>
      </w:r>
      <w:r w:rsidR="00A16FCE">
        <w:rPr>
          <w:rFonts w:eastAsia="Arial"/>
          <w:color w:val="000000"/>
          <w:sz w:val="22"/>
          <w:szCs w:val="22"/>
        </w:rPr>
        <w:t xml:space="preserve">  </w:t>
      </w:r>
      <w:r>
        <w:rPr>
          <w:rFonts w:eastAsia="Arial"/>
          <w:color w:val="000000"/>
          <w:sz w:val="22"/>
          <w:szCs w:val="22"/>
        </w:rPr>
        <w:t xml:space="preserve">diametru PE-HD Rohr 100 și </w:t>
      </w:r>
      <w:r w:rsidR="00A16FCE">
        <w:rPr>
          <w:rFonts w:eastAsia="Arial"/>
          <w:color w:val="000000"/>
          <w:sz w:val="22"/>
          <w:szCs w:val="22"/>
        </w:rPr>
        <w:t xml:space="preserve">Ethylen </w:t>
      </w:r>
      <w:r>
        <w:rPr>
          <w:rFonts w:eastAsia="Arial"/>
          <w:color w:val="000000"/>
          <w:sz w:val="22"/>
          <w:szCs w:val="22"/>
        </w:rPr>
        <w:t>(C2)</w:t>
      </w:r>
      <w:r w:rsidR="00BA7613">
        <w:rPr>
          <w:rFonts w:eastAsia="Arial"/>
          <w:color w:val="000000"/>
          <w:sz w:val="22"/>
          <w:szCs w:val="22"/>
        </w:rPr>
        <w:t xml:space="preserve"> </w:t>
      </w:r>
      <w:r>
        <w:rPr>
          <w:rFonts w:eastAsia="Arial"/>
          <w:color w:val="000000"/>
          <w:sz w:val="22"/>
          <w:szCs w:val="22"/>
        </w:rPr>
        <w:t xml:space="preserve">Contract valabil </w:t>
      </w:r>
      <w:r w:rsidR="00BA7613">
        <w:rPr>
          <w:rFonts w:eastAsia="Arial"/>
          <w:color w:val="000000"/>
          <w:sz w:val="22"/>
          <w:szCs w:val="22"/>
        </w:rPr>
        <w:t>la 0</w:t>
      </w:r>
      <w:r w:rsidR="0004730F">
        <w:rPr>
          <w:rFonts w:eastAsia="Arial"/>
          <w:color w:val="000000"/>
          <w:sz w:val="22"/>
          <w:szCs w:val="22"/>
        </w:rPr>
        <w:t>9</w:t>
      </w:r>
      <w:r w:rsidR="00BA7613">
        <w:rPr>
          <w:rFonts w:eastAsia="Arial"/>
          <w:color w:val="000000"/>
          <w:sz w:val="22"/>
          <w:szCs w:val="22"/>
        </w:rPr>
        <w:t>/2023</w:t>
      </w:r>
      <w:r>
        <w:rPr>
          <w:rFonts w:eastAsia="Arial"/>
          <w:color w:val="000000"/>
          <w:sz w:val="22"/>
          <w:szCs w:val="22"/>
        </w:rPr>
        <w:t xml:space="preserve"> (preț de bază) în valoare de </w:t>
      </w:r>
      <w:r w:rsidR="00BA7613">
        <w:rPr>
          <w:rFonts w:eastAsia="Arial"/>
          <w:color w:val="000000"/>
          <w:sz w:val="22"/>
          <w:szCs w:val="22"/>
        </w:rPr>
        <w:t>1 </w:t>
      </w:r>
      <w:r w:rsidR="0004730F">
        <w:rPr>
          <w:rFonts w:eastAsia="Arial"/>
          <w:color w:val="000000"/>
          <w:sz w:val="22"/>
          <w:szCs w:val="22"/>
        </w:rPr>
        <w:t>600</w:t>
      </w:r>
    </w:p>
    <w:p w14:paraId="00000013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firstLine="284"/>
        <w:rPr>
          <w:rFonts w:eastAsia="Arial"/>
          <w:color w:val="000000"/>
          <w:sz w:val="22"/>
          <w:szCs w:val="22"/>
        </w:rPr>
      </w:pPr>
    </w:p>
    <w:p w14:paraId="00000014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</w:p>
    <w:p w14:paraId="00000015" w14:textId="406465EF" w:rsidR="008F1FE8" w:rsidRDefault="00D224A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Prețul de mai sus este disponibil la „ </w:t>
      </w:r>
      <w:hyperlink r:id="rId8" w:history="1">
        <w:r w:rsidR="00A16FCE">
          <w:rPr>
            <w:rStyle w:val="Hypertextovodkaz"/>
          </w:rPr>
          <w:t>Price Details – Plastics Information Europe (plasteurope.com)</w:t>
        </w:r>
      </w:hyperlink>
      <w:r>
        <w:rPr>
          <w:rFonts w:eastAsia="Arial"/>
          <w:color w:val="000000"/>
          <w:szCs w:val="20"/>
        </w:rPr>
        <w:t>"</w:t>
      </w:r>
    </w:p>
    <w:p w14:paraId="00000016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</w:p>
    <w:p w14:paraId="00000017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</w:p>
    <w:p w14:paraId="00000018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color w:val="000000"/>
          <w:sz w:val="22"/>
          <w:szCs w:val="22"/>
        </w:rPr>
      </w:pPr>
    </w:p>
    <w:p w14:paraId="00000019" w14:textId="44A62F3A" w:rsidR="008F1FE8" w:rsidRDefault="00A16FC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i/>
          <w:color w:val="000000"/>
          <w:sz w:val="22"/>
          <w:szCs w:val="22"/>
        </w:rPr>
      </w:pPr>
      <w:r>
        <w:rPr>
          <w:rFonts w:eastAsia="Arial"/>
          <w:i/>
          <w:color w:val="000000"/>
          <w:sz w:val="22"/>
          <w:szCs w:val="22"/>
        </w:rPr>
        <w:t>Prețului de bază brut ofertat P</w:t>
      </w:r>
      <w:r>
        <w:rPr>
          <w:rFonts w:eastAsia="Arial"/>
          <w:i/>
          <w:color w:val="000000"/>
          <w:sz w:val="22"/>
          <w:szCs w:val="22"/>
          <w:vertAlign w:val="subscript"/>
        </w:rPr>
        <w:t xml:space="preserve">0 </w:t>
      </w:r>
      <w:r>
        <w:rPr>
          <w:rFonts w:eastAsia="Arial"/>
          <w:i/>
          <w:color w:val="000000"/>
          <w:sz w:val="22"/>
          <w:szCs w:val="22"/>
        </w:rPr>
        <w:t xml:space="preserve">se poate modifica </w:t>
      </w:r>
      <w:r w:rsidR="00BA7613">
        <w:rPr>
          <w:rFonts w:eastAsia="Arial"/>
          <w:i/>
          <w:color w:val="000000"/>
          <w:sz w:val="22"/>
          <w:szCs w:val="22"/>
        </w:rPr>
        <w:t xml:space="preserve">la cererea Cumpărătorului sau Vânzătorului, </w:t>
      </w:r>
      <w:r>
        <w:rPr>
          <w:rFonts w:eastAsia="Arial"/>
          <w:i/>
          <w:color w:val="000000"/>
          <w:sz w:val="22"/>
          <w:szCs w:val="22"/>
          <w:lang w:val="ro-RO"/>
        </w:rPr>
        <w:t>î</w:t>
      </w:r>
      <w:r>
        <w:rPr>
          <w:rFonts w:eastAsia="Arial"/>
          <w:i/>
          <w:color w:val="000000"/>
          <w:sz w:val="22"/>
          <w:szCs w:val="22"/>
        </w:rPr>
        <w:t>n cazul în care indicele M</w:t>
      </w:r>
      <w:r>
        <w:rPr>
          <w:rFonts w:eastAsia="Arial"/>
          <w:i/>
          <w:color w:val="000000"/>
          <w:sz w:val="22"/>
          <w:szCs w:val="22"/>
          <w:vertAlign w:val="subscript"/>
        </w:rPr>
        <w:t xml:space="preserve">1 </w:t>
      </w:r>
      <w:r>
        <w:rPr>
          <w:rFonts w:eastAsia="Arial"/>
          <w:i/>
          <w:color w:val="000000"/>
          <w:sz w:val="22"/>
          <w:szCs w:val="22"/>
        </w:rPr>
        <w:t>se modifică în comparație cu indicele M</w:t>
      </w:r>
      <w:r>
        <w:rPr>
          <w:rFonts w:eastAsia="Arial"/>
          <w:i/>
          <w:color w:val="000000"/>
          <w:sz w:val="22"/>
          <w:szCs w:val="22"/>
          <w:vertAlign w:val="subscript"/>
        </w:rPr>
        <w:t>0</w:t>
      </w:r>
      <w:r>
        <w:rPr>
          <w:rFonts w:eastAsia="Arial"/>
          <w:color w:val="000000"/>
          <w:sz w:val="22"/>
          <w:szCs w:val="22"/>
        </w:rPr>
        <w:t xml:space="preserve"> </w:t>
      </w:r>
      <w:r>
        <w:rPr>
          <w:rFonts w:eastAsia="Arial"/>
          <w:i/>
          <w:color w:val="000000"/>
          <w:sz w:val="22"/>
          <w:szCs w:val="22"/>
        </w:rPr>
        <w:t>în sus sau în jos cu mai mult de 10%.</w:t>
      </w:r>
    </w:p>
    <w:p w14:paraId="0000001A" w14:textId="77777777" w:rsidR="008F1FE8" w:rsidRDefault="008F1FE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rPr>
          <w:rFonts w:eastAsia="Arial"/>
          <w:i/>
          <w:color w:val="000000"/>
          <w:sz w:val="22"/>
          <w:szCs w:val="22"/>
        </w:rPr>
      </w:pPr>
    </w:p>
    <w:sectPr w:rsidR="008F1F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6A98" w14:textId="77777777" w:rsidR="0063723D" w:rsidRDefault="0063723D">
      <w:r>
        <w:separator/>
      </w:r>
    </w:p>
  </w:endnote>
  <w:endnote w:type="continuationSeparator" w:id="0">
    <w:p w14:paraId="051A32EA" w14:textId="77777777" w:rsidR="0063723D" w:rsidRDefault="00637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2" w14:textId="77777777" w:rsidR="008F1FE8" w:rsidRDefault="008F1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/>
        <w:color w:val="00000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5816835E" w:rsidR="008F1FE8" w:rsidRPr="002D6974" w:rsidRDefault="00D224A8" w:rsidP="002D69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/>
        <w:color w:val="000000"/>
        <w:sz w:val="18"/>
        <w:szCs w:val="18"/>
      </w:rPr>
    </w:pPr>
    <w:r>
      <w:rPr>
        <w:rFonts w:eastAsia="Arial"/>
        <w:color w:val="000000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7777777" w:rsidR="008F1FE8" w:rsidRDefault="008F1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/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4EC21" w14:textId="77777777" w:rsidR="0063723D" w:rsidRDefault="0063723D">
      <w:r>
        <w:separator/>
      </w:r>
    </w:p>
  </w:footnote>
  <w:footnote w:type="continuationSeparator" w:id="0">
    <w:p w14:paraId="7E6833E7" w14:textId="77777777" w:rsidR="0063723D" w:rsidRDefault="006372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0" w14:textId="77777777" w:rsidR="008F1FE8" w:rsidRDefault="008F1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/>
        <w:color w:val="00000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3E7AF" w14:textId="77777777" w:rsidR="00BA7613" w:rsidRDefault="00BA7613" w:rsidP="00BA7613">
    <w:pPr>
      <w:tabs>
        <w:tab w:val="center" w:pos="4536"/>
        <w:tab w:val="right" w:pos="9072"/>
      </w:tabs>
      <w:jc w:val="right"/>
      <w:rPr>
        <w:rFonts w:eastAsia="Arial"/>
        <w:b/>
        <w:color w:val="000000"/>
        <w:sz w:val="18"/>
        <w:szCs w:val="18"/>
        <w:lang w:val="ro-RO"/>
      </w:rPr>
    </w:pPr>
    <w:r>
      <w:rPr>
        <w:rFonts w:eastAsia="Arial"/>
        <w:b/>
        <w:color w:val="000000"/>
        <w:sz w:val="18"/>
        <w:szCs w:val="18"/>
      </w:rPr>
      <w:t>Num</w:t>
    </w:r>
    <w:r>
      <w:rPr>
        <w:rFonts w:eastAsia="Arial"/>
        <w:b/>
        <w:color w:val="000000"/>
        <w:sz w:val="18"/>
        <w:szCs w:val="18"/>
        <w:lang w:val="ro-RO"/>
      </w:rPr>
      <w:t xml:space="preserve">ărul de contract al cumpărătorului nr. 1: </w:t>
    </w:r>
    <w:r>
      <w:rPr>
        <w:rFonts w:eastAsia="Arial"/>
        <w:b/>
        <w:color w:val="000000"/>
        <w:sz w:val="18"/>
        <w:szCs w:val="18"/>
        <w:highlight w:val="yellow"/>
        <w:lang w:val="ro-RO"/>
      </w:rPr>
      <w:t>completează contractantul</w:t>
    </w:r>
  </w:p>
  <w:p w14:paraId="3C2C0DED" w14:textId="77777777" w:rsidR="00BA7613" w:rsidRDefault="00BA7613" w:rsidP="00BA7613">
    <w:pPr>
      <w:tabs>
        <w:tab w:val="center" w:pos="4536"/>
        <w:tab w:val="right" w:pos="9072"/>
      </w:tabs>
      <w:jc w:val="right"/>
      <w:rPr>
        <w:rFonts w:eastAsia="Arial"/>
        <w:b/>
        <w:color w:val="000000"/>
        <w:sz w:val="18"/>
        <w:szCs w:val="18"/>
        <w:lang w:val="ro-RO"/>
      </w:rPr>
    </w:pPr>
    <w:r>
      <w:rPr>
        <w:rFonts w:eastAsia="Arial"/>
        <w:b/>
        <w:color w:val="000000"/>
        <w:sz w:val="18"/>
        <w:szCs w:val="18"/>
      </w:rPr>
      <w:t>Num</w:t>
    </w:r>
    <w:r>
      <w:rPr>
        <w:rFonts w:eastAsia="Arial"/>
        <w:b/>
        <w:color w:val="000000"/>
        <w:sz w:val="18"/>
        <w:szCs w:val="18"/>
        <w:lang w:val="ro-RO"/>
      </w:rPr>
      <w:t xml:space="preserve">ărul de contract al cumpărătorului nr. 2: </w:t>
    </w:r>
    <w:r>
      <w:rPr>
        <w:rFonts w:eastAsia="Arial"/>
        <w:b/>
        <w:color w:val="000000"/>
        <w:sz w:val="18"/>
        <w:szCs w:val="18"/>
        <w:highlight w:val="yellow"/>
        <w:lang w:val="ro-RO"/>
      </w:rPr>
      <w:t>completează contractantul</w:t>
    </w:r>
  </w:p>
  <w:p w14:paraId="011EFF6A" w14:textId="77777777" w:rsidR="00BA7613" w:rsidRDefault="00BA7613" w:rsidP="00BA7613">
    <w:pPr>
      <w:tabs>
        <w:tab w:val="center" w:pos="4536"/>
        <w:tab w:val="right" w:pos="9072"/>
      </w:tabs>
      <w:jc w:val="right"/>
      <w:rPr>
        <w:rFonts w:eastAsia="Arial"/>
        <w:b/>
        <w:color w:val="000000"/>
        <w:sz w:val="18"/>
        <w:szCs w:val="18"/>
        <w:lang w:val="ro-RO"/>
      </w:rPr>
    </w:pPr>
    <w:r>
      <w:rPr>
        <w:rFonts w:eastAsia="Arial"/>
        <w:b/>
        <w:color w:val="000000"/>
        <w:sz w:val="18"/>
        <w:szCs w:val="18"/>
      </w:rPr>
      <w:t>Num</w:t>
    </w:r>
    <w:r>
      <w:rPr>
        <w:rFonts w:eastAsia="Arial"/>
        <w:b/>
        <w:color w:val="000000"/>
        <w:sz w:val="18"/>
        <w:szCs w:val="18"/>
        <w:lang w:val="ro-RO"/>
      </w:rPr>
      <w:t xml:space="preserve">ărul de contract al vânzătorului: </w:t>
    </w:r>
    <w:r>
      <w:rPr>
        <w:rFonts w:eastAsia="Arial"/>
        <w:b/>
        <w:color w:val="000000"/>
        <w:sz w:val="18"/>
        <w:szCs w:val="18"/>
        <w:highlight w:val="green"/>
        <w:lang w:val="ro-RO"/>
      </w:rPr>
      <w:t>completează participantul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1" w14:textId="77777777" w:rsidR="008F1FE8" w:rsidRDefault="008F1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/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7A3FEF"/>
    <w:multiLevelType w:val="multilevel"/>
    <w:tmpl w:val="F1F860E2"/>
    <w:lvl w:ilvl="0">
      <w:start w:val="1"/>
      <w:numFmt w:val="decimal"/>
      <w:pStyle w:val="NADPI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ODSTAVEC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44892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FE8"/>
    <w:rsid w:val="0004730F"/>
    <w:rsid w:val="00111C47"/>
    <w:rsid w:val="001501D3"/>
    <w:rsid w:val="002D6974"/>
    <w:rsid w:val="0063723D"/>
    <w:rsid w:val="008F1FE8"/>
    <w:rsid w:val="00A16FCE"/>
    <w:rsid w:val="00BA7613"/>
    <w:rsid w:val="00BB1294"/>
    <w:rsid w:val="00CB6F12"/>
    <w:rsid w:val="00D2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C31C5"/>
  <w15:docId w15:val="{7FC2AACC-EACB-4680-B288-B58476FF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ro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eastAsia="Times New Roman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val="ro"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val="ro"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val="ro"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val="ro"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val="ro"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ro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eastAsia="Times New Roman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eastAsia="Times New Roman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9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eweb.plasteurope.com/default.aspx?pageid=22223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wMEpuD/3NsY2DlvrwexinuOs6gw==">AMUW2mW8nGkKBl7aLlt5uPc3KiM9Xj7wI7Hn2fUrHKfd45CFYcKxhPxKJIO2DmDMhyAPcLSeki4RKtnbSSyNUV4y7yYrqiwDqulY1z89qVhg969LHw0dtmsO4mdHS7iyT+XOXvARXDEW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4</cp:revision>
  <dcterms:created xsi:type="dcterms:W3CDTF">2023-10-04T17:37:00Z</dcterms:created>
  <dcterms:modified xsi:type="dcterms:W3CDTF">2023-10-17T08:03:00Z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