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1549" w14:textId="30A6C3B6"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77777777"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Specifikace se vztahuje na kovově kryté, typově odzkoušené rozvaděče do 25 kV s izolací plynem SF</w:t>
      </w:r>
      <w:r w:rsidRPr="00EE5E43">
        <w:rPr>
          <w:rFonts w:ascii="Arial" w:hAnsi="Arial" w:cs="Arial"/>
          <w:vertAlign w:val="subscript"/>
        </w:rPr>
        <w:t>6</w:t>
      </w:r>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Přípojnice jsou uvnitř uzavřené nádoby (tanku) s plynem SF</w:t>
      </w:r>
      <w:r w:rsidR="006E1551" w:rsidRPr="00EE5E43">
        <w:rPr>
          <w:rFonts w:ascii="Arial" w:hAnsi="Arial" w:cs="Arial"/>
          <w:vertAlign w:val="subscript"/>
        </w:rPr>
        <w:t>6</w:t>
      </w:r>
      <w:r w:rsidR="006E1551" w:rsidRPr="00EE5E43">
        <w:rPr>
          <w:rFonts w:ascii="Arial" w:hAnsi="Arial" w:cs="Arial"/>
        </w:rPr>
        <w:t xml:space="preserve"> včetně aktivních částí spínacích přístrojů</w:t>
      </w:r>
      <w:r w:rsidR="00D90126" w:rsidRPr="00EE5E43">
        <w:rPr>
          <w:rFonts w:ascii="Arial" w:hAnsi="Arial" w:cs="Arial"/>
        </w:rPr>
        <w:t>. Vypínače budou použity vakuové nebo i s izolací plynem SF</w:t>
      </w:r>
      <w:r w:rsidR="00D90126" w:rsidRPr="00EE5E43">
        <w:rPr>
          <w:rFonts w:ascii="Arial" w:hAnsi="Arial" w:cs="Arial"/>
          <w:vertAlign w:val="subscript"/>
        </w:rPr>
        <w:t>6</w:t>
      </w:r>
      <w:r w:rsidR="00D90126" w:rsidRPr="00EE5E43">
        <w:rPr>
          <w:rFonts w:ascii="Arial" w:hAnsi="Arial" w:cs="Arial"/>
        </w:rPr>
        <w:t>, s funkcí opětného zapínání nebo bez funkce opětného zapínání.</w:t>
      </w:r>
    </w:p>
    <w:p w14:paraId="0C263188" w14:textId="77777777" w:rsidR="004F7D63" w:rsidRPr="00EE5E4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měření, atd.</w:t>
      </w:r>
      <w:r w:rsidRPr="00EE5E43">
        <w:rPr>
          <w:rFonts w:ascii="Arial" w:hAnsi="Arial" w:cs="Arial"/>
        </w:rPr>
        <w:t xml:space="preserve"> </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77777777"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ed.3.</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Elektrotechnické předpisy - Elektrická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77777777"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ed.2.</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Zásuvné typy průchodek nad 1 kV až do 52 kV a od 250 A do 2,50 kA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77777777" w:rsidR="0055330E" w:rsidRPr="00EE5E43" w:rsidRDefault="0055330E" w:rsidP="0055330E">
            <w:pPr>
              <w:rPr>
                <w:rFonts w:ascii="Arial" w:hAnsi="Arial" w:cs="Arial"/>
              </w:rPr>
            </w:pPr>
            <w:r w:rsidRPr="00EE5E43">
              <w:rPr>
                <w:rFonts w:ascii="Arial" w:hAnsi="Arial" w:cs="Arial"/>
              </w:rPr>
              <w:t>ČSN EN 60282-1</w:t>
            </w:r>
            <w:r w:rsidR="00D01D7A" w:rsidRPr="00EE5E43">
              <w:rPr>
                <w:rFonts w:ascii="Arial" w:hAnsi="Arial" w:cs="Arial"/>
              </w:rPr>
              <w:t xml:space="preserve"> ed.3</w:t>
            </w:r>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Pojistky vysokého napětí - Část 1: Pojistky omezující proud</w:t>
            </w:r>
          </w:p>
        </w:tc>
      </w:tr>
      <w:tr w:rsidR="0055330E" w:rsidRPr="00EE5E43" w14:paraId="0C263198" w14:textId="77777777" w:rsidTr="00E34395">
        <w:trPr>
          <w:trHeight w:val="375"/>
          <w:jc w:val="center"/>
        </w:trPr>
        <w:tc>
          <w:tcPr>
            <w:tcW w:w="2127" w:type="dxa"/>
            <w:vAlign w:val="center"/>
          </w:tcPr>
          <w:p w14:paraId="0C263196" w14:textId="77777777" w:rsidR="0055330E" w:rsidRPr="00EE5E43" w:rsidRDefault="0055330E" w:rsidP="0055330E">
            <w:pPr>
              <w:rPr>
                <w:rFonts w:ascii="Arial" w:hAnsi="Arial" w:cs="Arial"/>
              </w:rPr>
            </w:pPr>
            <w:r w:rsidRPr="00EE5E43">
              <w:rPr>
                <w:rFonts w:ascii="Arial" w:hAnsi="Arial" w:cs="Arial"/>
              </w:rPr>
              <w:t>ČSN EN 60376</w:t>
            </w:r>
            <w:r w:rsidR="007A2C71" w:rsidRPr="00EE5E43">
              <w:rPr>
                <w:rFonts w:ascii="Arial" w:hAnsi="Arial" w:cs="Arial"/>
              </w:rPr>
              <w:t xml:space="preserve"> ed.2</w:t>
            </w:r>
          </w:p>
        </w:tc>
        <w:tc>
          <w:tcPr>
            <w:tcW w:w="7371" w:type="dxa"/>
            <w:vAlign w:val="center"/>
          </w:tcPr>
          <w:p w14:paraId="0C263197" w14:textId="77777777" w:rsidR="0055330E" w:rsidRPr="00EE5E43" w:rsidRDefault="0055330E" w:rsidP="0055330E">
            <w:pPr>
              <w:rPr>
                <w:rFonts w:ascii="Arial" w:hAnsi="Arial" w:cs="Arial"/>
              </w:rPr>
            </w:pPr>
            <w:r w:rsidRPr="00EE5E43">
              <w:rPr>
                <w:rFonts w:ascii="Arial" w:hAnsi="Arial" w:cs="Arial"/>
              </w:rPr>
              <w:t>Specifikace fluoridu sírového (SF</w:t>
            </w:r>
            <w:r w:rsidRPr="00EE5E43">
              <w:rPr>
                <w:rFonts w:ascii="Arial" w:hAnsi="Arial" w:cs="Arial"/>
                <w:vertAlign w:val="subscript"/>
              </w:rPr>
              <w:t>6</w:t>
            </w:r>
            <w:r w:rsidRPr="00EE5E43">
              <w:rPr>
                <w:rFonts w:ascii="Arial" w:hAnsi="Arial" w:cs="Arial"/>
              </w:rPr>
              <w:t>) technického stupně čistoty pro použití v elektrických zařízeních</w:t>
            </w:r>
          </w:p>
        </w:tc>
      </w:tr>
      <w:tr w:rsidR="00550592" w:rsidRPr="00EE5E43" w14:paraId="0C26319B" w14:textId="77777777" w:rsidTr="00E34395">
        <w:trPr>
          <w:trHeight w:val="375"/>
          <w:jc w:val="center"/>
        </w:trPr>
        <w:tc>
          <w:tcPr>
            <w:tcW w:w="2127" w:type="dxa"/>
            <w:vAlign w:val="center"/>
          </w:tcPr>
          <w:p w14:paraId="0C263199" w14:textId="77777777"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ed.2</w:t>
            </w:r>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Základní a bezpečnostní zásady pro rozhraní člověk-stroj, značení a identifikaci - Zásady pro ovládání</w:t>
            </w:r>
          </w:p>
        </w:tc>
      </w:tr>
      <w:tr w:rsidR="0055330E" w:rsidRPr="00EE5E43" w14:paraId="0C26319E" w14:textId="77777777" w:rsidTr="00E34395">
        <w:trPr>
          <w:trHeight w:val="375"/>
          <w:jc w:val="center"/>
        </w:trPr>
        <w:tc>
          <w:tcPr>
            <w:tcW w:w="2127" w:type="dxa"/>
            <w:vAlign w:val="center"/>
          </w:tcPr>
          <w:p w14:paraId="0C26319C" w14:textId="77777777"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ed.3</w:t>
            </w:r>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Zhotovování dokumentů používaných v elektrotechnice - Část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(VDS)</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77777777" w:rsidR="0055330E" w:rsidRPr="00EE5E43" w:rsidRDefault="0055330E" w:rsidP="0055330E">
            <w:pPr>
              <w:rPr>
                <w:rFonts w:ascii="Arial" w:hAnsi="Arial" w:cs="Arial"/>
              </w:rPr>
            </w:pPr>
            <w:r w:rsidRPr="00EE5E43">
              <w:rPr>
                <w:rFonts w:ascii="Arial" w:hAnsi="Arial" w:cs="Arial"/>
              </w:rPr>
              <w:t>ČSN EN 61914</w:t>
            </w:r>
            <w:r w:rsidR="007A2C71" w:rsidRPr="00EE5E43">
              <w:rPr>
                <w:rFonts w:ascii="Arial" w:hAnsi="Arial" w:cs="Arial"/>
              </w:rPr>
              <w:t xml:space="preserve"> ed.2</w:t>
            </w:r>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Přístrojové transformátory - Část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Přístrojové transformátory - Část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Přístrojové transformátory - Část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Přístrojové transformátory - Část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Přístrojové transformátory - Část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Přístrojové transformátory - Část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Přístrojové transformátory - Část 8: Elektronické transformátory proudu</w:t>
            </w:r>
          </w:p>
        </w:tc>
      </w:tr>
      <w:tr w:rsidR="009D0AF1" w:rsidRPr="00EE5E43" w14:paraId="0C2631BC" w14:textId="77777777" w:rsidTr="00E34395">
        <w:trPr>
          <w:trHeight w:val="375"/>
          <w:jc w:val="center"/>
        </w:trPr>
        <w:tc>
          <w:tcPr>
            <w:tcW w:w="2127" w:type="dxa"/>
            <w:vAlign w:val="center"/>
          </w:tcPr>
          <w:p w14:paraId="0C2631BA" w14:textId="77777777" w:rsidR="009D0AF1" w:rsidRPr="00EE5E43" w:rsidRDefault="009D0AF1" w:rsidP="009D0AF1">
            <w:pPr>
              <w:rPr>
                <w:rFonts w:ascii="Arial" w:hAnsi="Arial" w:cs="Arial"/>
              </w:rPr>
            </w:pPr>
            <w:r w:rsidRPr="00EE5E43">
              <w:rPr>
                <w:rFonts w:ascii="Arial" w:hAnsi="Arial" w:cs="Arial"/>
              </w:rPr>
              <w:t>ČSN EN 62271 -1 ed.2</w:t>
            </w:r>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 Společná ustanovení</w:t>
            </w:r>
          </w:p>
        </w:tc>
      </w:tr>
      <w:tr w:rsidR="009D0AF1" w:rsidRPr="00EE5E43" w14:paraId="0C2631BF" w14:textId="77777777" w:rsidTr="00E34395">
        <w:trPr>
          <w:trHeight w:val="375"/>
          <w:jc w:val="center"/>
        </w:trPr>
        <w:tc>
          <w:tcPr>
            <w:tcW w:w="2127" w:type="dxa"/>
            <w:vAlign w:val="center"/>
          </w:tcPr>
          <w:p w14:paraId="0C2631BD" w14:textId="77777777" w:rsidR="009D0AF1" w:rsidRPr="00EE5E43" w:rsidRDefault="009D0AF1" w:rsidP="009D0AF1">
            <w:pPr>
              <w:rPr>
                <w:rFonts w:ascii="Arial" w:hAnsi="Arial" w:cs="Arial"/>
              </w:rPr>
            </w:pPr>
            <w:r w:rsidRPr="00EE5E43">
              <w:rPr>
                <w:rFonts w:ascii="Arial" w:hAnsi="Arial" w:cs="Arial"/>
              </w:rPr>
              <w:t>ČSN EN 62271-200 ed.2</w:t>
            </w:r>
          </w:p>
        </w:tc>
        <w:tc>
          <w:tcPr>
            <w:tcW w:w="7371" w:type="dxa"/>
            <w:vAlign w:val="center"/>
          </w:tcPr>
          <w:p w14:paraId="0C2631BE"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200: Kovově kryté rozváděče na střídavý proud pro jmenovitá napětí nad 1 kV do 52 kV včetně</w:t>
            </w:r>
          </w:p>
        </w:tc>
      </w:tr>
      <w:tr w:rsidR="009D0AF1" w:rsidRPr="00EE5E43" w14:paraId="0C2631C2" w14:textId="77777777" w:rsidTr="00E34395">
        <w:trPr>
          <w:trHeight w:val="375"/>
          <w:jc w:val="center"/>
        </w:trPr>
        <w:tc>
          <w:tcPr>
            <w:tcW w:w="2127" w:type="dxa"/>
            <w:vAlign w:val="center"/>
          </w:tcPr>
          <w:p w14:paraId="0C2631C0" w14:textId="77777777" w:rsidR="009D0AF1" w:rsidRPr="00EE5E43" w:rsidRDefault="009D0AF1" w:rsidP="009D0AF1">
            <w:pPr>
              <w:rPr>
                <w:rFonts w:ascii="Arial" w:hAnsi="Arial" w:cs="Arial"/>
              </w:rPr>
            </w:pPr>
            <w:r w:rsidRPr="00EE5E43">
              <w:rPr>
                <w:rFonts w:ascii="Arial" w:hAnsi="Arial" w:cs="Arial"/>
              </w:rPr>
              <w:t>ČSN EN 62271-100 ed.2</w:t>
            </w:r>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100: Vypínače střídavého proudu</w:t>
            </w:r>
          </w:p>
        </w:tc>
      </w:tr>
      <w:tr w:rsidR="009D0AF1" w:rsidRPr="00EE5E43" w14:paraId="0C2631C5" w14:textId="77777777" w:rsidTr="00E34395">
        <w:trPr>
          <w:trHeight w:val="375"/>
          <w:jc w:val="center"/>
        </w:trPr>
        <w:tc>
          <w:tcPr>
            <w:tcW w:w="2127" w:type="dxa"/>
            <w:vAlign w:val="center"/>
          </w:tcPr>
          <w:p w14:paraId="0C2631C3" w14:textId="77777777" w:rsidR="009D0AF1" w:rsidRPr="00EE5E43" w:rsidRDefault="009D0AF1" w:rsidP="009D0AF1">
            <w:pPr>
              <w:rPr>
                <w:rFonts w:ascii="Arial" w:hAnsi="Arial" w:cs="Arial"/>
              </w:rPr>
            </w:pPr>
            <w:r w:rsidRPr="00EE5E43">
              <w:rPr>
                <w:rFonts w:ascii="Arial" w:hAnsi="Arial" w:cs="Arial"/>
              </w:rPr>
              <w:lastRenderedPageBreak/>
              <w:t>ČSN EN 62271-102 ed.2</w:t>
            </w:r>
          </w:p>
        </w:tc>
        <w:tc>
          <w:tcPr>
            <w:tcW w:w="7371" w:type="dxa"/>
            <w:vAlign w:val="center"/>
          </w:tcPr>
          <w:p w14:paraId="0C2631C4"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102: Odpojovače a uzemňovače střídavého proudu na napětí 1 000 V</w:t>
            </w:r>
          </w:p>
        </w:tc>
      </w:tr>
      <w:tr w:rsidR="009D0AF1" w:rsidRPr="00EE5E43" w14:paraId="0C2631C8" w14:textId="77777777" w:rsidTr="00E34395">
        <w:trPr>
          <w:trHeight w:val="375"/>
          <w:jc w:val="center"/>
        </w:trPr>
        <w:tc>
          <w:tcPr>
            <w:tcW w:w="2127" w:type="dxa"/>
            <w:vAlign w:val="center"/>
          </w:tcPr>
          <w:p w14:paraId="0C2631C6" w14:textId="77777777" w:rsidR="009D0AF1" w:rsidRPr="00EE5E43" w:rsidRDefault="009D0AF1" w:rsidP="009D0AF1">
            <w:pPr>
              <w:rPr>
                <w:rFonts w:ascii="Arial" w:hAnsi="Arial" w:cs="Arial"/>
              </w:rPr>
            </w:pPr>
            <w:r w:rsidRPr="00EE5E43">
              <w:rPr>
                <w:rFonts w:ascii="Arial" w:hAnsi="Arial" w:cs="Arial"/>
              </w:rPr>
              <w:t>ČSN EN 62271-103</w:t>
            </w:r>
          </w:p>
        </w:tc>
        <w:tc>
          <w:tcPr>
            <w:tcW w:w="7371" w:type="dxa"/>
            <w:vAlign w:val="center"/>
          </w:tcPr>
          <w:p w14:paraId="0C2631C7"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103: Spínače pro jmenovitá napětí nad 1 kV do 52 kV včetně</w:t>
            </w:r>
          </w:p>
        </w:tc>
      </w:tr>
      <w:tr w:rsidR="009D0AF1" w:rsidRPr="00EE5E43" w14:paraId="0C2631CC" w14:textId="77777777" w:rsidTr="00E34395">
        <w:trPr>
          <w:trHeight w:val="375"/>
          <w:jc w:val="center"/>
        </w:trPr>
        <w:tc>
          <w:tcPr>
            <w:tcW w:w="2127" w:type="dxa"/>
            <w:vAlign w:val="center"/>
          </w:tcPr>
          <w:p w14:paraId="0C2631C9" w14:textId="77777777" w:rsidR="009D0AF1" w:rsidRPr="00EE5E43" w:rsidRDefault="009D0AF1" w:rsidP="009D0AF1">
            <w:pPr>
              <w:rPr>
                <w:rFonts w:ascii="Arial" w:hAnsi="Arial" w:cs="Arial"/>
              </w:rPr>
            </w:pPr>
            <w:r w:rsidRPr="00EE5E43">
              <w:rPr>
                <w:rFonts w:ascii="Arial" w:hAnsi="Arial" w:cs="Arial"/>
              </w:rPr>
              <w:t>ČSN EN 62271-105 ed.2</w:t>
            </w:r>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105: Kombinace spínače</w:t>
            </w:r>
          </w:p>
          <w:p w14:paraId="0C2631CB" w14:textId="77777777" w:rsidR="009D0AF1" w:rsidRPr="00EE5E43" w:rsidRDefault="009D0AF1" w:rsidP="009D0AF1">
            <w:pPr>
              <w:rPr>
                <w:rFonts w:ascii="Arial" w:hAnsi="Arial" w:cs="Arial"/>
              </w:rPr>
            </w:pPr>
            <w:r w:rsidRPr="00EE5E43">
              <w:rPr>
                <w:rFonts w:ascii="Arial" w:hAnsi="Arial" w:cs="Arial"/>
              </w:rPr>
              <w:t>s pojistkami na střídavý proud</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(krytí - IP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77777777" w:rsidR="009D0AF1" w:rsidRPr="00EE5E43" w:rsidRDefault="009D0AF1" w:rsidP="009D0AF1">
            <w:pPr>
              <w:rPr>
                <w:rFonts w:ascii="Arial" w:hAnsi="Arial" w:cs="Arial"/>
              </w:rPr>
            </w:pPr>
            <w:r w:rsidRPr="00EE5E43">
              <w:rPr>
                <w:rFonts w:ascii="Arial" w:hAnsi="Arial" w:cs="Arial"/>
                <w:kern w:val="28"/>
              </w:rPr>
              <w:t>ČSN 33 2000-5-51 ed.3</w:t>
            </w:r>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Elektrotechnické předpisy - Elektrická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77777777" w:rsidR="009D0AF1" w:rsidRPr="00EE5E43" w:rsidRDefault="009D0AF1" w:rsidP="009D0AF1">
            <w:pPr>
              <w:rPr>
                <w:rFonts w:ascii="Arial" w:hAnsi="Arial" w:cs="Arial"/>
              </w:rPr>
            </w:pPr>
            <w:r w:rsidRPr="00EE5E43">
              <w:rPr>
                <w:rFonts w:ascii="Arial" w:hAnsi="Arial" w:cs="Arial"/>
              </w:rPr>
              <w:t>ČSN 33 2000-5-52 ed.2</w:t>
            </w:r>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Elektrické instalace nízkého napětí - Část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77777777" w:rsidR="009D0AF1" w:rsidRPr="00EE5E43" w:rsidRDefault="009D0AF1" w:rsidP="009D0AF1">
            <w:pPr>
              <w:rPr>
                <w:rFonts w:ascii="Arial" w:hAnsi="Arial" w:cs="Arial"/>
              </w:rPr>
            </w:pPr>
            <w:r w:rsidRPr="00EE5E43">
              <w:rPr>
                <w:rFonts w:ascii="Arial" w:hAnsi="Arial" w:cs="Arial"/>
              </w:rPr>
              <w:t>ČSN EN 61439-1 ed. 2</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Rozváděče nízkého napětí - Část 1: Všeobecná ustanovení.</w:t>
            </w:r>
          </w:p>
        </w:tc>
      </w:tr>
      <w:tr w:rsidR="009D0AF1" w:rsidRPr="00EE5E43" w14:paraId="0C2631DE" w14:textId="77777777" w:rsidTr="00E34395">
        <w:trPr>
          <w:trHeight w:val="375"/>
          <w:jc w:val="center"/>
        </w:trPr>
        <w:tc>
          <w:tcPr>
            <w:tcW w:w="2127" w:type="dxa"/>
            <w:vAlign w:val="center"/>
          </w:tcPr>
          <w:p w14:paraId="0C2631DC" w14:textId="77777777" w:rsidR="009D0AF1" w:rsidRPr="00EE5E43" w:rsidRDefault="009D0AF1" w:rsidP="009D0AF1">
            <w:pPr>
              <w:rPr>
                <w:rFonts w:ascii="Arial" w:hAnsi="Arial" w:cs="Arial"/>
              </w:rPr>
            </w:pPr>
            <w:r w:rsidRPr="00EE5E43">
              <w:rPr>
                <w:rFonts w:ascii="Arial" w:hAnsi="Arial" w:cs="Arial"/>
              </w:rPr>
              <w:t>ČSN EN 61439-2 ed. 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Rozváděče nízkého napětí - Část 2: Výkonové rozváděče.</w:t>
            </w:r>
          </w:p>
        </w:tc>
      </w:tr>
      <w:tr w:rsidR="009D0AF1" w:rsidRPr="00EE5E43" w14:paraId="0C2631E1" w14:textId="77777777" w:rsidTr="00E34395">
        <w:trPr>
          <w:trHeight w:val="375"/>
          <w:jc w:val="center"/>
        </w:trPr>
        <w:tc>
          <w:tcPr>
            <w:tcW w:w="2127" w:type="dxa"/>
            <w:vAlign w:val="center"/>
          </w:tcPr>
          <w:p w14:paraId="0C2631DF" w14:textId="77777777" w:rsidR="009D0AF1" w:rsidRPr="00EE5E43" w:rsidRDefault="009D0AF1" w:rsidP="009D0AF1">
            <w:pPr>
              <w:rPr>
                <w:rFonts w:ascii="Arial" w:hAnsi="Arial" w:cs="Arial"/>
              </w:rPr>
            </w:pPr>
            <w:r w:rsidRPr="00EE5E43">
              <w:rPr>
                <w:rFonts w:ascii="Arial" w:hAnsi="Arial" w:cs="Arial"/>
              </w:rPr>
              <w:t>ČSN EN 61439-5 ed. 2</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77777777" w:rsidR="009D0AF1" w:rsidRPr="00EE5E43" w:rsidRDefault="009D0AF1" w:rsidP="009D0AF1">
            <w:pPr>
              <w:rPr>
                <w:rFonts w:ascii="Arial" w:hAnsi="Arial" w:cs="Arial"/>
              </w:rPr>
            </w:pPr>
            <w:r w:rsidRPr="00EE5E43">
              <w:rPr>
                <w:rFonts w:ascii="Arial" w:hAnsi="Arial" w:cs="Arial"/>
              </w:rPr>
              <w:t>ČSN EN 62208 ed. 2</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Prázdné skříně pro rozváděče nízkého napětí - Obecné požadavky.</w:t>
            </w:r>
          </w:p>
        </w:tc>
      </w:tr>
      <w:tr w:rsidR="009D0AF1" w:rsidRPr="00EE5E43" w14:paraId="0C2631E7" w14:textId="77777777" w:rsidTr="00E34395">
        <w:trPr>
          <w:trHeight w:val="375"/>
          <w:jc w:val="center"/>
        </w:trPr>
        <w:tc>
          <w:tcPr>
            <w:tcW w:w="2127" w:type="dxa"/>
            <w:vAlign w:val="center"/>
          </w:tcPr>
          <w:p w14:paraId="0C2631E5" w14:textId="77777777" w:rsidR="009D0AF1" w:rsidRPr="00EE5E43" w:rsidRDefault="009D0AF1" w:rsidP="009D0AF1">
            <w:pPr>
              <w:rPr>
                <w:rFonts w:ascii="Arial" w:hAnsi="Arial" w:cs="Arial"/>
              </w:rPr>
            </w:pPr>
            <w:r w:rsidRPr="00EE5E43">
              <w:rPr>
                <w:rFonts w:ascii="Arial" w:hAnsi="Arial" w:cs="Arial"/>
              </w:rPr>
              <w:t>PNE 33 0000-2 ed.5</w:t>
            </w:r>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77777777" w:rsidR="009D0AF1" w:rsidRPr="00EE5E43" w:rsidRDefault="009D0AF1" w:rsidP="009D0AF1">
            <w:pPr>
              <w:rPr>
                <w:rFonts w:ascii="Arial" w:hAnsi="Arial" w:cs="Arial"/>
              </w:rPr>
            </w:pPr>
            <w:r w:rsidRPr="00EE5E43">
              <w:rPr>
                <w:rFonts w:ascii="Arial" w:hAnsi="Arial" w:cs="Arial"/>
              </w:rPr>
              <w:t>PNE 18 4310 ed. 4</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elektrických prvků a zařízení REAS.</w:t>
            </w:r>
          </w:p>
        </w:tc>
      </w:tr>
      <w:tr w:rsidR="009D0AF1" w:rsidRPr="00EE5E43" w14:paraId="0C2631F1" w14:textId="77777777" w:rsidTr="00E34395">
        <w:trPr>
          <w:trHeight w:val="375"/>
          <w:jc w:val="center"/>
        </w:trPr>
        <w:tc>
          <w:tcPr>
            <w:tcW w:w="2127" w:type="dxa"/>
            <w:vAlign w:val="center"/>
          </w:tcPr>
          <w:p w14:paraId="0C2631EF" w14:textId="77777777" w:rsidR="009D0AF1" w:rsidRPr="00EE5E43" w:rsidRDefault="009D0AF1" w:rsidP="009D0AF1">
            <w:pPr>
              <w:rPr>
                <w:rFonts w:ascii="Arial" w:hAnsi="Arial" w:cs="Arial"/>
              </w:rPr>
            </w:pPr>
            <w:r w:rsidRPr="00EE5E43">
              <w:rPr>
                <w:rFonts w:ascii="Arial" w:hAnsi="Arial" w:cs="Arial"/>
                <w:noProof/>
              </w:rPr>
              <w:t xml:space="preserve">PNE 34 7626 ed.2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Provozní zkoušky VN kabelových vedení v distribuční síti do 35 kV</w:t>
            </w:r>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77777777"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7777777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 (vnitřní tlak čistého plynu SF</w:t>
      </w:r>
      <w:r w:rsidRPr="00EE5E43">
        <w:rPr>
          <w:rFonts w:ascii="Arial" w:hAnsi="Arial" w:cs="Arial"/>
          <w:noProof/>
          <w:vertAlign w:val="subscript"/>
        </w:rPr>
        <w:t>6</w:t>
      </w:r>
      <w:r w:rsidRPr="00EE5E43">
        <w:rPr>
          <w:rFonts w:ascii="Arial" w:hAnsi="Arial" w:cs="Arial"/>
          <w:noProof/>
        </w:rPr>
        <w:t xml:space="preserve"> v nádobě odpovídá tlaku okolního vzduchu).</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EE53F8">
        <w:tc>
          <w:tcPr>
            <w:tcW w:w="7479"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301"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416D2D">
        <w:tc>
          <w:tcPr>
            <w:tcW w:w="978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EE53F8">
        <w:tc>
          <w:tcPr>
            <w:tcW w:w="7479"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301"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EE53F8">
        <w:tc>
          <w:tcPr>
            <w:tcW w:w="7479"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301"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416D2D">
        <w:tc>
          <w:tcPr>
            <w:tcW w:w="978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EE53F8">
        <w:tc>
          <w:tcPr>
            <w:tcW w:w="7479"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301"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EE53F8">
        <w:tc>
          <w:tcPr>
            <w:tcW w:w="7479"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301"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EE53F8">
        <w:tc>
          <w:tcPr>
            <w:tcW w:w="7479"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301"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EE53F8">
        <w:tc>
          <w:tcPr>
            <w:tcW w:w="7479"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301"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416D2D">
        <w:tc>
          <w:tcPr>
            <w:tcW w:w="978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EE53F8">
        <w:tc>
          <w:tcPr>
            <w:tcW w:w="7479"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301" w:type="dxa"/>
          </w:tcPr>
          <w:p w14:paraId="0C26323C"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0" w14:textId="77777777" w:rsidTr="00EE53F8">
        <w:tc>
          <w:tcPr>
            <w:tcW w:w="7479"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301" w:type="dxa"/>
          </w:tcPr>
          <w:p w14:paraId="0C26323F"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3" w14:textId="77777777" w:rsidTr="00EE53F8">
        <w:tc>
          <w:tcPr>
            <w:tcW w:w="7479"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301" w:type="dxa"/>
          </w:tcPr>
          <w:p w14:paraId="0C263242" w14:textId="77777777" w:rsidR="00307A59" w:rsidRPr="00EE5E43" w:rsidRDefault="00307A59" w:rsidP="00621C5E">
            <w:pPr>
              <w:spacing w:before="60"/>
              <w:jc w:val="both"/>
              <w:rPr>
                <w:rFonts w:ascii="Arial" w:hAnsi="Arial" w:cs="Arial"/>
                <w:noProof/>
              </w:rPr>
            </w:pPr>
            <w:r w:rsidRPr="00EE5E43">
              <w:rPr>
                <w:rFonts w:ascii="Arial" w:hAnsi="Arial" w:cs="Arial"/>
                <w:noProof/>
              </w:rPr>
              <w:t>200 A</w:t>
            </w:r>
          </w:p>
        </w:tc>
      </w:tr>
      <w:tr w:rsidR="009A4428" w:rsidRPr="00EE5E43" w14:paraId="0C263246" w14:textId="77777777" w:rsidTr="00EE53F8">
        <w:tc>
          <w:tcPr>
            <w:tcW w:w="7479"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301" w:type="dxa"/>
          </w:tcPr>
          <w:p w14:paraId="0C263245"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9" w14:textId="77777777" w:rsidTr="00EE53F8">
        <w:tc>
          <w:tcPr>
            <w:tcW w:w="7479"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301" w:type="dxa"/>
          </w:tcPr>
          <w:p w14:paraId="0C263248"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r w:rsidR="00353D2F" w:rsidRPr="00EE5E43">
              <w:rPr>
                <w:rFonts w:ascii="Arial" w:hAnsi="Arial" w:cs="Arial"/>
                <w:noProof/>
              </w:rPr>
              <w:t>, 250 A</w:t>
            </w:r>
          </w:p>
        </w:tc>
      </w:tr>
      <w:tr w:rsidR="009A4428" w:rsidRPr="00EE5E43" w14:paraId="0C26324C" w14:textId="77777777" w:rsidTr="00EE53F8">
        <w:tc>
          <w:tcPr>
            <w:tcW w:w="7479"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301" w:type="dxa"/>
          </w:tcPr>
          <w:p w14:paraId="0C26324B"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F" w14:textId="77777777" w:rsidTr="00EE53F8">
        <w:tc>
          <w:tcPr>
            <w:tcW w:w="7479"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301" w:type="dxa"/>
          </w:tcPr>
          <w:p w14:paraId="0C26324E" w14:textId="77777777" w:rsidR="009A4428" w:rsidRPr="00EE5E43" w:rsidRDefault="009A4428" w:rsidP="009A4428">
            <w:pPr>
              <w:spacing w:before="60"/>
              <w:jc w:val="both"/>
              <w:rPr>
                <w:rFonts w:ascii="Arial" w:hAnsi="Arial" w:cs="Arial"/>
                <w:noProof/>
              </w:rPr>
            </w:pPr>
            <w:r w:rsidRPr="00EE5E43">
              <w:rPr>
                <w:rFonts w:ascii="Arial" w:hAnsi="Arial" w:cs="Arial"/>
                <w:noProof/>
              </w:rPr>
              <w:t>20 kA/1 s</w:t>
            </w:r>
          </w:p>
        </w:tc>
      </w:tr>
      <w:tr w:rsidR="009A4428" w:rsidRPr="00EE5E43" w14:paraId="0C263252" w14:textId="77777777" w:rsidTr="00EE53F8">
        <w:tc>
          <w:tcPr>
            <w:tcW w:w="7479"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301" w:type="dxa"/>
          </w:tcPr>
          <w:p w14:paraId="0C263251" w14:textId="77777777" w:rsidR="009A4428" w:rsidRPr="00EE5E43" w:rsidRDefault="009A4428" w:rsidP="009A4428">
            <w:pPr>
              <w:spacing w:before="60"/>
              <w:jc w:val="both"/>
              <w:rPr>
                <w:rFonts w:ascii="Arial" w:hAnsi="Arial" w:cs="Arial"/>
                <w:noProof/>
              </w:rPr>
            </w:pPr>
            <w:r w:rsidRPr="00EE5E43">
              <w:rPr>
                <w:rFonts w:ascii="Arial" w:hAnsi="Arial" w:cs="Arial"/>
                <w:noProof/>
              </w:rPr>
              <w:t>50 kA</w:t>
            </w:r>
          </w:p>
        </w:tc>
      </w:tr>
      <w:tr w:rsidR="009A4428" w:rsidRPr="00EE5E43" w14:paraId="0C263255" w14:textId="77777777" w:rsidTr="00EE53F8">
        <w:tc>
          <w:tcPr>
            <w:tcW w:w="7479"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301"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EE53F8">
        <w:tc>
          <w:tcPr>
            <w:tcW w:w="7479"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301"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EE53F8">
        <w:tc>
          <w:tcPr>
            <w:tcW w:w="7479"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301" w:type="dxa"/>
          </w:tcPr>
          <w:p w14:paraId="0C26325A" w14:textId="77777777" w:rsidR="009A4428" w:rsidRPr="00EE5E43" w:rsidRDefault="009A4428" w:rsidP="009A4428">
            <w:pPr>
              <w:spacing w:before="60"/>
              <w:jc w:val="both"/>
              <w:rPr>
                <w:rFonts w:ascii="Arial" w:hAnsi="Arial" w:cs="Arial"/>
                <w:noProof/>
              </w:rPr>
            </w:pPr>
            <w:r w:rsidRPr="00EE5E43">
              <w:rPr>
                <w:rFonts w:ascii="Arial" w:hAnsi="Arial" w:cs="Arial"/>
                <w:noProof/>
              </w:rPr>
              <w:t>IP2X</w:t>
            </w:r>
          </w:p>
        </w:tc>
      </w:tr>
      <w:tr w:rsidR="009A4428" w:rsidRPr="00EE5E43" w14:paraId="0C26325E" w14:textId="77777777" w:rsidTr="00EE53F8">
        <w:tc>
          <w:tcPr>
            <w:tcW w:w="7479" w:type="dxa"/>
          </w:tcPr>
          <w:p w14:paraId="0C26325C"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ochrany proti vnějším mech. nárazům (podle ČSN EN50102)</w:t>
            </w:r>
          </w:p>
        </w:tc>
        <w:tc>
          <w:tcPr>
            <w:tcW w:w="2301" w:type="dxa"/>
          </w:tcPr>
          <w:p w14:paraId="0C26325D" w14:textId="77777777" w:rsidR="009A4428" w:rsidRPr="00EE5E43" w:rsidRDefault="009A4428" w:rsidP="009A4428">
            <w:pPr>
              <w:spacing w:before="60"/>
              <w:jc w:val="both"/>
              <w:rPr>
                <w:rFonts w:ascii="Arial" w:hAnsi="Arial" w:cs="Arial"/>
                <w:noProof/>
              </w:rPr>
            </w:pPr>
            <w:r w:rsidRPr="00EE5E43">
              <w:rPr>
                <w:rFonts w:ascii="Arial" w:hAnsi="Arial" w:cs="Arial"/>
                <w:noProof/>
              </w:rPr>
              <w:t>IK 07</w:t>
            </w:r>
          </w:p>
        </w:tc>
      </w:tr>
      <w:tr w:rsidR="009A4428" w:rsidRPr="00EE5E43" w14:paraId="0C263261" w14:textId="77777777" w:rsidTr="00EE53F8">
        <w:tc>
          <w:tcPr>
            <w:tcW w:w="7479" w:type="dxa"/>
          </w:tcPr>
          <w:p w14:paraId="0C26325F" w14:textId="77777777" w:rsidR="009A4428" w:rsidRPr="00EE5E43" w:rsidRDefault="009A4428" w:rsidP="009A4428">
            <w:pPr>
              <w:spacing w:before="60"/>
              <w:jc w:val="both"/>
              <w:rPr>
                <w:rFonts w:ascii="Arial" w:hAnsi="Arial" w:cs="Arial"/>
                <w:noProof/>
              </w:rPr>
            </w:pPr>
            <w:r w:rsidRPr="00EE5E43">
              <w:rPr>
                <w:rFonts w:ascii="Arial" w:hAnsi="Arial" w:cs="Arial"/>
                <w:noProof/>
              </w:rPr>
              <w:t>Kategorie ztráty nepřerušenosti provozu</w:t>
            </w:r>
          </w:p>
        </w:tc>
        <w:tc>
          <w:tcPr>
            <w:tcW w:w="2301" w:type="dxa"/>
          </w:tcPr>
          <w:p w14:paraId="0C263260" w14:textId="77777777" w:rsidR="009A4428" w:rsidRPr="00EE5E43" w:rsidRDefault="009A4428" w:rsidP="009A4428">
            <w:pPr>
              <w:spacing w:before="60"/>
              <w:jc w:val="both"/>
              <w:rPr>
                <w:rFonts w:ascii="Arial" w:hAnsi="Arial" w:cs="Arial"/>
                <w:noProof/>
              </w:rPr>
            </w:pPr>
            <w:r w:rsidRPr="00EE5E43">
              <w:rPr>
                <w:rFonts w:ascii="Arial" w:hAnsi="Arial" w:cs="Arial"/>
                <w:noProof/>
              </w:rPr>
              <w:t>LSC 2A</w:t>
            </w:r>
          </w:p>
        </w:tc>
      </w:tr>
      <w:tr w:rsidR="009A4428" w:rsidRPr="00EE5E43" w14:paraId="0C263264" w14:textId="77777777" w:rsidTr="00EE53F8">
        <w:tc>
          <w:tcPr>
            <w:tcW w:w="7479" w:type="dxa"/>
          </w:tcPr>
          <w:p w14:paraId="0C263262"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přepážek</w:t>
            </w:r>
          </w:p>
        </w:tc>
        <w:tc>
          <w:tcPr>
            <w:tcW w:w="2301" w:type="dxa"/>
          </w:tcPr>
          <w:p w14:paraId="0C263263" w14:textId="77777777" w:rsidR="009A4428" w:rsidRPr="00EE5E43" w:rsidRDefault="009A4428" w:rsidP="009A4428">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77777777"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ČSN EN 62271-103</w:t>
      </w:r>
      <w:r w:rsidRPr="00EE5E43">
        <w:rPr>
          <w:rFonts w:ascii="Arial" w:hAnsi="Arial" w:cs="Arial"/>
          <w:noProof/>
        </w:rPr>
        <w:t>.</w:t>
      </w:r>
      <w:r w:rsidR="00C5297A" w:rsidRPr="00EE5E43">
        <w:rPr>
          <w:rFonts w:ascii="Arial" w:hAnsi="Arial" w:cs="Arial"/>
          <w:noProof/>
        </w:rPr>
        <w:t xml:space="preserve"> </w:t>
      </w:r>
    </w:p>
    <w:p w14:paraId="0C26326A" w14:textId="77777777"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77777777" w:rsidR="00FD021C" w:rsidRPr="00EE5E43" w:rsidRDefault="00FD021C" w:rsidP="00FD021C">
      <w:pPr>
        <w:spacing w:before="60" w:line="276" w:lineRule="auto"/>
        <w:jc w:val="both"/>
        <w:rPr>
          <w:rFonts w:ascii="Arial" w:hAnsi="Arial" w:cs="Arial"/>
          <w:noProof/>
        </w:rPr>
      </w:pPr>
      <w:r w:rsidRPr="00EE5E43">
        <w:rPr>
          <w:rFonts w:ascii="Arial" w:hAnsi="Arial" w:cs="Arial"/>
          <w:noProof/>
        </w:rPr>
        <w:t>Vypínač musí odpovídat ČSN EN 62271-100 ed.2.</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77777777"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100"/>
        <w:gridCol w:w="2243"/>
      </w:tblGrid>
      <w:tr w:rsidR="000D552B" w:rsidRPr="00EE5E43" w14:paraId="0C263276" w14:textId="77777777" w:rsidTr="0076458E">
        <w:tc>
          <w:tcPr>
            <w:tcW w:w="978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1344F0">
        <w:tc>
          <w:tcPr>
            <w:tcW w:w="7479"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301" w:type="dxa"/>
          </w:tcPr>
          <w:p w14:paraId="0C263278" w14:textId="77777777" w:rsidR="001344F0" w:rsidRPr="00EE5E43" w:rsidRDefault="001344F0" w:rsidP="001344F0">
            <w:pPr>
              <w:spacing w:before="60"/>
              <w:jc w:val="both"/>
              <w:rPr>
                <w:rFonts w:ascii="Arial" w:hAnsi="Arial" w:cs="Arial"/>
                <w:noProof/>
              </w:rPr>
            </w:pPr>
            <w:r w:rsidRPr="00EE5E43">
              <w:rPr>
                <w:rFonts w:ascii="Arial" w:hAnsi="Arial" w:cs="Arial"/>
                <w:noProof/>
              </w:rPr>
              <w:t>630 A</w:t>
            </w:r>
          </w:p>
        </w:tc>
      </w:tr>
      <w:tr w:rsidR="001344F0" w:rsidRPr="00EE5E43" w14:paraId="0C26327C" w14:textId="77777777" w:rsidTr="001344F0">
        <w:tc>
          <w:tcPr>
            <w:tcW w:w="7479" w:type="dxa"/>
            <w:gridSpan w:val="2"/>
          </w:tcPr>
          <w:p w14:paraId="0C26327A"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krátkodobý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Ik</w:t>
            </w:r>
          </w:p>
        </w:tc>
        <w:tc>
          <w:tcPr>
            <w:tcW w:w="2301" w:type="dxa"/>
          </w:tcPr>
          <w:p w14:paraId="0C26327B" w14:textId="77777777" w:rsidR="001344F0" w:rsidRPr="00EE5E43" w:rsidRDefault="001344F0" w:rsidP="001344F0">
            <w:pPr>
              <w:spacing w:before="60"/>
              <w:jc w:val="both"/>
              <w:rPr>
                <w:rFonts w:ascii="Arial" w:hAnsi="Arial" w:cs="Arial"/>
                <w:noProof/>
              </w:rPr>
            </w:pPr>
            <w:r w:rsidRPr="00EE5E43">
              <w:rPr>
                <w:rFonts w:ascii="Arial" w:hAnsi="Arial" w:cs="Arial"/>
                <w:noProof/>
              </w:rPr>
              <w:t>20 kA</w:t>
            </w:r>
          </w:p>
        </w:tc>
      </w:tr>
      <w:tr w:rsidR="001344F0" w:rsidRPr="00EE5E43" w14:paraId="0C26327F" w14:textId="77777777" w:rsidTr="001344F0">
        <w:tc>
          <w:tcPr>
            <w:tcW w:w="7479"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301" w:type="dxa"/>
          </w:tcPr>
          <w:p w14:paraId="0C26327E"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2" w14:textId="77777777" w:rsidTr="001344F0">
        <w:tc>
          <w:tcPr>
            <w:tcW w:w="7479"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301" w:type="dxa"/>
          </w:tcPr>
          <w:p w14:paraId="0C263281"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4" w14:textId="77777777" w:rsidTr="001344F0">
        <w:tc>
          <w:tcPr>
            <w:tcW w:w="978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1344F0" w:rsidRPr="00EE5E43" w14:paraId="0C263287" w14:textId="77777777" w:rsidTr="0015693A">
        <w:tc>
          <w:tcPr>
            <w:tcW w:w="6345"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435" w:type="dxa"/>
            <w:gridSpan w:val="2"/>
          </w:tcPr>
          <w:p w14:paraId="0C263286" w14:textId="77777777" w:rsidR="001344F0" w:rsidRPr="00EE5E43" w:rsidRDefault="003137CA" w:rsidP="001344F0">
            <w:pPr>
              <w:spacing w:before="60"/>
              <w:jc w:val="both"/>
              <w:rPr>
                <w:rFonts w:ascii="Arial" w:hAnsi="Arial" w:cs="Arial"/>
                <w:noProof/>
              </w:rPr>
            </w:pPr>
            <w:r w:rsidRPr="00EE5E43">
              <w:rPr>
                <w:rFonts w:ascii="Arial" w:hAnsi="Arial" w:cs="Arial"/>
                <w:noProof/>
              </w:rPr>
              <w:t>Počet spínacích cyklů: 1000</w:t>
            </w:r>
          </w:p>
        </w:tc>
      </w:tr>
      <w:tr w:rsidR="001344F0" w:rsidRPr="00EE5E43" w14:paraId="0C26328B" w14:textId="77777777" w:rsidTr="0015693A">
        <w:tc>
          <w:tcPr>
            <w:tcW w:w="6345"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435" w:type="dxa"/>
            <w:gridSpan w:val="2"/>
          </w:tcPr>
          <w:p w14:paraId="0C263289" w14:textId="77777777" w:rsidR="001344F0" w:rsidRPr="00EE5E43" w:rsidRDefault="003137CA" w:rsidP="0015693A">
            <w:pPr>
              <w:jc w:val="both"/>
              <w:rPr>
                <w:rFonts w:ascii="Arial" w:hAnsi="Arial" w:cs="Arial"/>
                <w:noProof/>
              </w:rPr>
            </w:pPr>
            <w:r w:rsidRPr="00EE5E43">
              <w:rPr>
                <w:rFonts w:ascii="Arial" w:hAnsi="Arial" w:cs="Arial"/>
                <w:noProof/>
              </w:rPr>
              <w:t>Počet spínacích cyklů při Ir: 100</w:t>
            </w:r>
          </w:p>
          <w:p w14:paraId="0C26328A" w14:textId="77777777" w:rsidR="003137CA" w:rsidRPr="00EE5E43" w:rsidRDefault="003137CA" w:rsidP="0015693A">
            <w:pPr>
              <w:jc w:val="both"/>
              <w:rPr>
                <w:rFonts w:ascii="Arial" w:hAnsi="Arial" w:cs="Arial"/>
                <w:noProof/>
              </w:rPr>
            </w:pPr>
            <w:r w:rsidRPr="00EE5E43">
              <w:rPr>
                <w:rFonts w:ascii="Arial" w:hAnsi="Arial" w:cs="Arial"/>
                <w:noProof/>
              </w:rPr>
              <w:t>Počet spínacích cyklů při Ima: 5</w:t>
            </w:r>
          </w:p>
        </w:tc>
      </w:tr>
      <w:tr w:rsidR="003137CA" w:rsidRPr="00EE5E43" w14:paraId="0C26328D" w14:textId="77777777" w:rsidTr="0076458E">
        <w:tc>
          <w:tcPr>
            <w:tcW w:w="9780" w:type="dxa"/>
            <w:gridSpan w:val="3"/>
          </w:tcPr>
          <w:p w14:paraId="0C26328C" w14:textId="77777777" w:rsidR="003137CA" w:rsidRPr="00EE5E43" w:rsidRDefault="003137CA" w:rsidP="001344F0">
            <w:pPr>
              <w:spacing w:before="60"/>
              <w:jc w:val="both"/>
              <w:rPr>
                <w:rFonts w:ascii="Arial" w:hAnsi="Arial" w:cs="Arial"/>
                <w:noProof/>
              </w:rPr>
            </w:pPr>
          </w:p>
        </w:tc>
      </w:tr>
      <w:tr w:rsidR="000D552B" w:rsidRPr="00EE5E43" w14:paraId="0C26328F" w14:textId="77777777" w:rsidTr="0076458E">
        <w:tc>
          <w:tcPr>
            <w:tcW w:w="978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1344F0">
        <w:tc>
          <w:tcPr>
            <w:tcW w:w="7479"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301" w:type="dxa"/>
          </w:tcPr>
          <w:p w14:paraId="0C263291" w14:textId="77777777" w:rsidR="001344F0" w:rsidRPr="00EE5E43" w:rsidRDefault="000D552B" w:rsidP="001344F0">
            <w:pPr>
              <w:spacing w:before="60"/>
              <w:jc w:val="both"/>
              <w:rPr>
                <w:rFonts w:ascii="Arial" w:hAnsi="Arial" w:cs="Arial"/>
                <w:noProof/>
              </w:rPr>
            </w:pPr>
            <w:r w:rsidRPr="00EE5E43">
              <w:rPr>
                <w:rFonts w:ascii="Arial" w:hAnsi="Arial" w:cs="Arial"/>
                <w:noProof/>
              </w:rPr>
              <w:t>20 kA</w:t>
            </w:r>
          </w:p>
        </w:tc>
      </w:tr>
      <w:tr w:rsidR="001344F0" w:rsidRPr="00EE5E43" w14:paraId="0C263295" w14:textId="77777777" w:rsidTr="001344F0">
        <w:tc>
          <w:tcPr>
            <w:tcW w:w="7479"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94" w14:textId="77777777" w:rsidR="001344F0" w:rsidRPr="00EE5E43" w:rsidRDefault="000D552B" w:rsidP="001344F0">
            <w:pPr>
              <w:spacing w:before="60"/>
              <w:jc w:val="both"/>
              <w:rPr>
                <w:rFonts w:ascii="Arial" w:hAnsi="Arial" w:cs="Arial"/>
                <w:noProof/>
              </w:rPr>
            </w:pPr>
            <w:r w:rsidRPr="00EE5E43">
              <w:rPr>
                <w:rFonts w:ascii="Arial" w:hAnsi="Arial" w:cs="Arial"/>
                <w:noProof/>
              </w:rPr>
              <w:t>50 kA</w:t>
            </w:r>
          </w:p>
        </w:tc>
      </w:tr>
      <w:tr w:rsidR="000D552B" w:rsidRPr="00EE5E43" w14:paraId="0C263297" w14:textId="77777777" w:rsidTr="0076458E">
        <w:tc>
          <w:tcPr>
            <w:tcW w:w="978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0D552B" w:rsidRPr="00EE5E43" w14:paraId="0C26329A" w14:textId="77777777" w:rsidTr="00B74E26">
        <w:tc>
          <w:tcPr>
            <w:tcW w:w="6345" w:type="dxa"/>
          </w:tcPr>
          <w:p w14:paraId="0C263298" w14:textId="77777777" w:rsidR="000D552B" w:rsidRPr="00EE5E43" w:rsidRDefault="000D552B" w:rsidP="001547CD">
            <w:pPr>
              <w:tabs>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99"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1000</w:t>
            </w:r>
          </w:p>
        </w:tc>
      </w:tr>
      <w:tr w:rsidR="000D552B" w:rsidRPr="00EE5E43" w14:paraId="0C26329D" w14:textId="77777777" w:rsidTr="00B74E26">
        <w:tc>
          <w:tcPr>
            <w:tcW w:w="6345" w:type="dxa"/>
          </w:tcPr>
          <w:p w14:paraId="0C26329B" w14:textId="77777777" w:rsidR="000D552B" w:rsidRPr="00EE5E43" w:rsidRDefault="000D552B" w:rsidP="00B74E26">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3435" w:type="dxa"/>
            <w:gridSpan w:val="2"/>
          </w:tcPr>
          <w:p w14:paraId="0C26329C"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při Ima: 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77777777" w:rsidR="001547CD" w:rsidRPr="00EE5E43" w:rsidRDefault="001547CD" w:rsidP="0076458E">
            <w:pPr>
              <w:spacing w:before="60"/>
              <w:jc w:val="both"/>
              <w:rPr>
                <w:rFonts w:ascii="Arial" w:hAnsi="Arial" w:cs="Arial"/>
                <w:noProof/>
              </w:rPr>
            </w:pPr>
            <w:r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7777777" w:rsidR="001547CD" w:rsidRPr="00EE5E43" w:rsidRDefault="001547CD" w:rsidP="001547CD">
            <w:pPr>
              <w:spacing w:before="60"/>
              <w:jc w:val="both"/>
              <w:rPr>
                <w:rFonts w:ascii="Arial" w:hAnsi="Arial" w:cs="Arial"/>
                <w:noProof/>
              </w:rPr>
            </w:pPr>
            <w:r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Ir: 100</w:t>
            </w:r>
          </w:p>
          <w:p w14:paraId="0C2632B6"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Ima: 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77777777"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1 600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77777777"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C8"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CC" w14:textId="77777777" w:rsidTr="00DB3590">
        <w:tc>
          <w:tcPr>
            <w:tcW w:w="6345" w:type="dxa"/>
            <w:gridSpan w:val="2"/>
          </w:tcPr>
          <w:p w14:paraId="0C2632CA" w14:textId="77777777"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E1</w:t>
            </w:r>
          </w:p>
        </w:tc>
        <w:tc>
          <w:tcPr>
            <w:tcW w:w="3435" w:type="dxa"/>
            <w:gridSpan w:val="2"/>
          </w:tcPr>
          <w:p w14:paraId="0C2632CB"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při Ima: 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7777777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D8"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1000</w:t>
            </w:r>
          </w:p>
        </w:tc>
      </w:tr>
      <w:tr w:rsidR="007C7945" w:rsidRPr="00EE5E43" w14:paraId="0C2632DC" w14:textId="77777777" w:rsidTr="00DB3590">
        <w:tc>
          <w:tcPr>
            <w:tcW w:w="6345" w:type="dxa"/>
            <w:gridSpan w:val="2"/>
          </w:tcPr>
          <w:p w14:paraId="0C2632DA" w14:textId="77777777"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E1</w:t>
            </w:r>
          </w:p>
        </w:tc>
        <w:tc>
          <w:tcPr>
            <w:tcW w:w="3435" w:type="dxa"/>
            <w:gridSpan w:val="2"/>
          </w:tcPr>
          <w:p w14:paraId="0C2632DB"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při Ima: 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77777777"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IP2X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7777777"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1600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10" w14:textId="77777777" w:rsidTr="004F7D63">
        <w:tc>
          <w:tcPr>
            <w:tcW w:w="7379" w:type="dxa"/>
            <w:gridSpan w:val="2"/>
          </w:tcPr>
          <w:p w14:paraId="0C26330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0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12" w14:textId="77777777" w:rsidTr="004F7D63">
        <w:tc>
          <w:tcPr>
            <w:tcW w:w="9630" w:type="dxa"/>
            <w:gridSpan w:val="3"/>
          </w:tcPr>
          <w:p w14:paraId="0C26331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15" w14:textId="77777777" w:rsidTr="004F7D63">
        <w:tc>
          <w:tcPr>
            <w:tcW w:w="6287" w:type="dxa"/>
          </w:tcPr>
          <w:p w14:paraId="0C263313"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M2</w:t>
            </w:r>
          </w:p>
        </w:tc>
        <w:tc>
          <w:tcPr>
            <w:tcW w:w="3343" w:type="dxa"/>
            <w:gridSpan w:val="2"/>
          </w:tcPr>
          <w:p w14:paraId="0C26331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O – 0,3 s – CO – 3 min. - 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3A" w14:textId="77777777" w:rsidTr="004F7D63">
        <w:tc>
          <w:tcPr>
            <w:tcW w:w="7379" w:type="dxa"/>
            <w:gridSpan w:val="2"/>
          </w:tcPr>
          <w:p w14:paraId="0C263338"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39"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3D" w14:textId="77777777" w:rsidTr="004F7D63">
        <w:tc>
          <w:tcPr>
            <w:tcW w:w="7379" w:type="dxa"/>
            <w:gridSpan w:val="2"/>
          </w:tcPr>
          <w:p w14:paraId="0C26333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3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C" w14:textId="77777777" w:rsidTr="004F7D63">
        <w:tc>
          <w:tcPr>
            <w:tcW w:w="7379" w:type="dxa"/>
            <w:gridSpan w:val="2"/>
          </w:tcPr>
          <w:p w14:paraId="0C26335A"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5B"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7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85"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89" w14:textId="77777777" w:rsidTr="004F7D63">
        <w:tc>
          <w:tcPr>
            <w:tcW w:w="7379" w:type="dxa"/>
            <w:gridSpan w:val="2"/>
          </w:tcPr>
          <w:p w14:paraId="0C263387"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8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DD" w14:textId="77777777"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77777777" w:rsidR="000F610D" w:rsidRPr="00EE5E43" w:rsidRDefault="000F610D"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F1" w14:textId="77777777" w:rsidR="000F610D" w:rsidRPr="00EE5E43" w:rsidRDefault="000F610D" w:rsidP="0012128D">
            <w:pPr>
              <w:spacing w:before="60"/>
              <w:jc w:val="both"/>
              <w:rPr>
                <w:rFonts w:ascii="Arial" w:hAnsi="Arial" w:cs="Arial"/>
                <w:noProof/>
              </w:rPr>
            </w:pPr>
            <w:r w:rsidRPr="00EE5E43">
              <w:rPr>
                <w:rFonts w:ascii="Arial" w:hAnsi="Arial" w:cs="Arial"/>
                <w:noProof/>
              </w:rPr>
              <w:t>Počet spínacích cyklů: 1000</w:t>
            </w:r>
          </w:p>
        </w:tc>
      </w:tr>
      <w:tr w:rsidR="000F610D" w:rsidRPr="00EE5E43" w14:paraId="0C2633F5" w14:textId="77777777" w:rsidTr="0012128D">
        <w:tc>
          <w:tcPr>
            <w:tcW w:w="7379" w:type="dxa"/>
          </w:tcPr>
          <w:p w14:paraId="0C2633F3" w14:textId="77777777" w:rsidR="000F610D" w:rsidRPr="00EE5E43" w:rsidRDefault="000F610D"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F4"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0C2633FD" w14:textId="77777777" w:rsidR="00792AF4" w:rsidRPr="00EE5E43" w:rsidRDefault="00E44C22" w:rsidP="00621C5E">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3FE" w14:textId="77777777" w:rsidR="00D02B5B" w:rsidRPr="00EE5E43" w:rsidRDefault="00E53665" w:rsidP="00621C5E">
      <w:pPr>
        <w:spacing w:before="60"/>
        <w:jc w:val="both"/>
        <w:rPr>
          <w:rFonts w:ascii="Arial" w:hAnsi="Arial" w:cs="Arial"/>
          <w:noProof/>
        </w:rPr>
      </w:pPr>
      <w:r w:rsidRPr="00EE5E43">
        <w:rPr>
          <w:rFonts w:ascii="Arial" w:hAnsi="Arial" w:cs="Arial"/>
          <w:noProof/>
        </w:rPr>
        <w:t>Plnícím mediem je ply</w:t>
      </w:r>
      <w:r w:rsidR="00D02B5B" w:rsidRPr="00EE5E43">
        <w:rPr>
          <w:rFonts w:ascii="Arial" w:hAnsi="Arial" w:cs="Arial"/>
          <w:noProof/>
        </w:rPr>
        <w:t>n</w:t>
      </w:r>
      <w:r w:rsidRPr="00EE5E43">
        <w:rPr>
          <w:rFonts w:ascii="Arial" w:hAnsi="Arial" w:cs="Arial"/>
          <w:noProof/>
        </w:rPr>
        <w:t xml:space="preserve"> SF</w:t>
      </w:r>
      <w:r w:rsidRPr="00EE5E43">
        <w:rPr>
          <w:rFonts w:ascii="Arial" w:hAnsi="Arial" w:cs="Arial"/>
          <w:noProof/>
          <w:vertAlign w:val="subscript"/>
        </w:rPr>
        <w:t>6</w:t>
      </w:r>
      <w:r w:rsidRPr="00EE5E43">
        <w:rPr>
          <w:rFonts w:ascii="Arial" w:hAnsi="Arial" w:cs="Arial"/>
          <w:noProof/>
        </w:rPr>
        <w:t xml:space="preserve"> odpovídající normě ČSN EN 60376. Musí být dodrženy předpisy a nařízení pro tlakové nádoby. Plnící tlak a objem musí </w:t>
      </w:r>
      <w:r w:rsidR="000F233C" w:rsidRPr="00EE5E43">
        <w:rPr>
          <w:rFonts w:ascii="Arial" w:hAnsi="Arial" w:cs="Arial"/>
          <w:noProof/>
        </w:rPr>
        <w:t xml:space="preserve">být </w:t>
      </w:r>
      <w:r w:rsidRPr="00EE5E43">
        <w:rPr>
          <w:rFonts w:ascii="Arial" w:hAnsi="Arial" w:cs="Arial"/>
          <w:noProof/>
        </w:rPr>
        <w:t>navržen tak, aby nebyly nutné žádné odborné kontroly</w:t>
      </w:r>
      <w:r w:rsidR="000F233C" w:rsidRPr="00EE5E43">
        <w:rPr>
          <w:rFonts w:ascii="Arial" w:hAnsi="Arial" w:cs="Arial"/>
          <w:noProof/>
        </w:rPr>
        <w:t xml:space="preserve"> nebo revize</w:t>
      </w:r>
      <w:r w:rsidRPr="00EE5E43">
        <w:rPr>
          <w:rFonts w:ascii="Arial" w:hAnsi="Arial" w:cs="Arial"/>
          <w:noProof/>
        </w:rPr>
        <w:t xml:space="preserve">. </w:t>
      </w:r>
    </w:p>
    <w:p w14:paraId="0C2633FF" w14:textId="77777777" w:rsidR="00E53665" w:rsidRPr="00EE5E43" w:rsidRDefault="00D02B5B" w:rsidP="00621C5E">
      <w:pPr>
        <w:spacing w:before="60"/>
        <w:jc w:val="both"/>
        <w:rPr>
          <w:rFonts w:ascii="Arial" w:hAnsi="Arial" w:cs="Arial"/>
          <w:noProof/>
        </w:rPr>
      </w:pPr>
      <w:r w:rsidRPr="00EE5E43">
        <w:rPr>
          <w:rFonts w:ascii="Arial" w:hAnsi="Arial" w:cs="Arial"/>
          <w:noProof/>
        </w:rPr>
        <w:t>Jednotlivé plynem izolované oddíly se musí podrobit tlakové zkoušce podle ČSN EN 62271-200, odstavec 7.103.</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77777777"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nádoby plněné plynem</w:t>
      </w:r>
      <w:r w:rsidR="00E81A03" w:rsidRPr="00EE5E43">
        <w:rPr>
          <w:rFonts w:ascii="Arial" w:hAnsi="Arial" w:cs="Arial"/>
          <w:noProof/>
        </w:rPr>
        <w:t xml:space="preserve"> SF</w:t>
      </w:r>
      <w:r w:rsidR="00E81A03" w:rsidRPr="00EE5E43">
        <w:rPr>
          <w:rFonts w:ascii="Arial" w:hAnsi="Arial" w:cs="Arial"/>
          <w:noProof/>
          <w:vertAlign w:val="subscript"/>
        </w:rPr>
        <w:t>6</w:t>
      </w:r>
      <w:r w:rsidR="00FE44FE" w:rsidRPr="00EE5E43">
        <w:rPr>
          <w:rFonts w:ascii="Arial" w:hAnsi="Arial" w:cs="Arial"/>
          <w:noProof/>
        </w:rPr>
        <w:t>.</w:t>
      </w:r>
    </w:p>
    <w:p w14:paraId="0C263402" w14:textId="4C5523FC" w:rsidR="00663100" w:rsidRPr="00EE5E43" w:rsidRDefault="00FE44FE" w:rsidP="00663100">
      <w:pPr>
        <w:spacing w:before="60"/>
        <w:jc w:val="both"/>
        <w:rPr>
          <w:rFonts w:ascii="Arial" w:hAnsi="Arial" w:cs="Arial"/>
          <w:b/>
          <w:noProof/>
        </w:rPr>
      </w:pPr>
      <w:r w:rsidRPr="00EE5E43">
        <w:rPr>
          <w:rFonts w:ascii="Arial" w:hAnsi="Arial" w:cs="Arial"/>
          <w:noProof/>
        </w:rPr>
        <w:t>Musí být zaručena taková těsnost, že jmenovitý provozní tlak v nádobě se udrží minimálně po dobu 40 let. Míra úniku plynu SF</w:t>
      </w:r>
      <w:r w:rsidRPr="00EE5E43">
        <w:rPr>
          <w:rFonts w:ascii="Arial" w:hAnsi="Arial" w:cs="Arial"/>
          <w:noProof/>
          <w:vertAlign w:val="subscript"/>
        </w:rPr>
        <w:t>6</w:t>
      </w:r>
      <w:r w:rsidRPr="00EE5E43">
        <w:rPr>
          <w:rFonts w:ascii="Arial" w:hAnsi="Arial" w:cs="Arial"/>
          <w:noProof/>
        </w:rPr>
        <w:t xml:space="preserve"> (relativní hodnota úniku) nesmí překročit 0,1 % za rok.</w:t>
      </w:r>
      <w:r w:rsidR="00663100" w:rsidRPr="00EE5E43">
        <w:rPr>
          <w:rFonts w:ascii="Arial" w:hAnsi="Arial" w:cs="Arial"/>
          <w:noProof/>
        </w:rPr>
        <w:t xml:space="preserve"> </w:t>
      </w:r>
      <w:r w:rsidR="00663100" w:rsidRPr="00EE5E43">
        <w:rPr>
          <w:rFonts w:ascii="Arial" w:hAnsi="Arial" w:cs="Arial"/>
          <w:b/>
          <w:noProof/>
        </w:rPr>
        <w:t>Jednotlivé nádoby pro plyn nesmí obsahovat více jak 6 kg plynu SF</w:t>
      </w:r>
      <w:r w:rsidR="00663100" w:rsidRPr="00EE5E43">
        <w:rPr>
          <w:rFonts w:ascii="Arial" w:hAnsi="Arial" w:cs="Arial"/>
          <w:b/>
          <w:noProof/>
          <w:vertAlign w:val="subscript"/>
        </w:rPr>
        <w:t>6</w:t>
      </w:r>
      <w:r w:rsidR="00663100" w:rsidRPr="00EE5E43">
        <w:rPr>
          <w:rFonts w:ascii="Arial" w:hAnsi="Arial" w:cs="Arial"/>
          <w:b/>
          <w:noProof/>
        </w:rPr>
        <w:t>. Rozvaděč musí být označen v souladu s Nařízením Komise (ES) č. 1497/2007 a Nařízení evropského parlamentu a rady (EU)</w:t>
      </w:r>
      <w:r w:rsidR="00663100" w:rsidRPr="00EE5E43">
        <w:rPr>
          <w:rFonts w:ascii="Arial" w:hAnsi="Arial" w:cs="Arial"/>
          <w:noProof/>
        </w:rPr>
        <w:t xml:space="preserve"> </w:t>
      </w:r>
      <w:r w:rsidR="00663100" w:rsidRPr="00EE5E43">
        <w:rPr>
          <w:rFonts w:ascii="Arial" w:hAnsi="Arial" w:cs="Arial"/>
          <w:b/>
          <w:noProof/>
        </w:rPr>
        <w:t>č. 517/2014.</w:t>
      </w:r>
    </w:p>
    <w:p w14:paraId="0C263403" w14:textId="77777777" w:rsidR="00FE44FE" w:rsidRPr="00EE5E43" w:rsidRDefault="00FE44FE" w:rsidP="00621C5E">
      <w:pPr>
        <w:spacing w:before="60"/>
        <w:jc w:val="both"/>
        <w:rPr>
          <w:rFonts w:ascii="Arial" w:hAnsi="Arial" w:cs="Arial"/>
          <w:noProof/>
        </w:rPr>
      </w:pPr>
      <w:r w:rsidRPr="00EE5E43">
        <w:rPr>
          <w:rFonts w:ascii="Arial" w:hAnsi="Arial" w:cs="Arial"/>
          <w:noProof/>
        </w:rPr>
        <w:t xml:space="preserve">Nádoba i s aktivními částmi musí být koncipována pro bezúdržbový </w:t>
      </w:r>
      <w:r w:rsidR="004C4C36" w:rsidRPr="00EE5E43">
        <w:rPr>
          <w:rFonts w:ascii="Arial" w:hAnsi="Arial" w:cs="Arial"/>
          <w:noProof/>
        </w:rPr>
        <w:t xml:space="preserve">provoz po celou dobu </w:t>
      </w:r>
      <w:r w:rsidRPr="00EE5E43">
        <w:rPr>
          <w:rFonts w:ascii="Arial" w:hAnsi="Arial" w:cs="Arial"/>
          <w:noProof/>
        </w:rPr>
        <w:t>životnosti zařízení.</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671BE6D0"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systém skládá z jednotlivých modulů umístěných vedle sebe a/nebo  z bloku obsahujícího více polí (kompakt). Blok (kompakt) má jeden společný prostor plněný plynem SF</w:t>
      </w:r>
      <w:r w:rsidR="002A2D14" w:rsidRPr="002D406D">
        <w:rPr>
          <w:rFonts w:ascii="Arial" w:hAnsi="Arial" w:cs="Arial"/>
          <w:noProof/>
          <w:vertAlign w:val="subscript"/>
        </w:rPr>
        <w:t>6</w:t>
      </w:r>
      <w:r w:rsidR="002A2D14" w:rsidRPr="00814A87">
        <w:rPr>
          <w:rFonts w:ascii="Arial" w:hAnsi="Arial" w:cs="Arial"/>
          <w:noProof/>
        </w:rPr>
        <w:t>.</w:t>
      </w:r>
    </w:p>
    <w:p w14:paraId="0C263406" w14:textId="77777777"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0" w14:textId="621D7CE1"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KK </w:t>
      </w:r>
      <w:r w:rsidR="00814A87">
        <w:rPr>
          <w:rFonts w:ascii="Arial" w:hAnsi="Arial" w:cs="Arial"/>
          <w:noProof/>
        </w:rPr>
        <w:t>PS</w:t>
      </w:r>
      <w:r w:rsidR="000F531E" w:rsidRPr="00EE5E43">
        <w:rPr>
          <w:rFonts w:ascii="Arial" w:hAnsi="Arial" w:cs="Arial"/>
          <w:noProof/>
        </w:rPr>
        <w:t xml:space="preserve">/ </w:t>
      </w:r>
      <w:r w:rsidR="00814A87">
        <w:rPr>
          <w:rFonts w:ascii="Arial" w:hAnsi="Arial" w:cs="Arial"/>
          <w:noProof/>
        </w:rPr>
        <w:t>PS</w:t>
      </w:r>
      <w:r w:rsidR="000F531E" w:rsidRPr="00EE5E43">
        <w:rPr>
          <w:rFonts w:ascii="Arial" w:hAnsi="Arial" w:cs="Arial"/>
          <w:noProof/>
        </w:rPr>
        <w:t xml:space="preserve"> KK (dva kabelové přívody a pole podélné spojky), rozvaděč rozšiřitelný o navazující pole měření do levé nebo pravé strany.</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K, rozšiřitelné  obou stran</w:t>
      </w:r>
    </w:p>
    <w:p w14:paraId="0C263416"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T, rozšiřitelné  obou stran</w:t>
      </w:r>
    </w:p>
    <w:p w14:paraId="0C263417" w14:textId="77777777" w:rsidR="00C43966" w:rsidRPr="00EE5E43" w:rsidRDefault="00C439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E, rozšiřitelné  obou stran (uzemňovač přípojnic)</w:t>
      </w:r>
    </w:p>
    <w:p w14:paraId="0C263418"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L1, rozšiřitelné  obou stran</w:t>
      </w:r>
    </w:p>
    <w:p w14:paraId="0C263419"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L2, rozšiřitelné  obou stran</w:t>
      </w:r>
    </w:p>
    <w:p w14:paraId="0C26341B"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PS, rozšiřitelné  obou stran (podélná spojka přípojnic s odpínačem)</w:t>
      </w:r>
    </w:p>
    <w:p w14:paraId="0C26341C"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H, rozšiřitelné  obou stran (přechodové pole při použití podélné spojky přípojnic)</w:t>
      </w:r>
    </w:p>
    <w:p w14:paraId="0C26341D" w14:textId="06CB2EF1" w:rsidR="00D83466" w:rsidRPr="00EE5E43" w:rsidRDefault="00D834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1</w:t>
      </w:r>
      <w:r w:rsidR="00B90EC5" w:rsidRPr="00EE5E43">
        <w:rPr>
          <w:rFonts w:ascii="Arial" w:hAnsi="Arial" w:cs="Arial"/>
        </w:rPr>
        <w:t>, hlavní systém přípojnic izolovaný plynem SF6 v uzavřením tanku,</w:t>
      </w:r>
      <w:r w:rsidRPr="00EE5E43">
        <w:rPr>
          <w:rFonts w:ascii="Arial" w:hAnsi="Arial" w:cs="Arial"/>
          <w:noProof/>
        </w:rPr>
        <w:t xml:space="preserve"> vzduchem </w:t>
      </w:r>
      <w:r w:rsidR="00B90EC5" w:rsidRPr="00EE5E43">
        <w:rPr>
          <w:rFonts w:ascii="Arial" w:hAnsi="Arial" w:cs="Arial"/>
          <w:noProof/>
        </w:rPr>
        <w:t xml:space="preserve">izolovaný </w:t>
      </w:r>
      <w:r w:rsidR="00B90EC5" w:rsidRPr="00EE5E43">
        <w:rPr>
          <w:rFonts w:ascii="Arial" w:hAnsi="Arial" w:cs="Arial"/>
        </w:rPr>
        <w:t>prostor pro montáž MTN a MTP</w:t>
      </w:r>
      <w:r w:rsidR="00B90EC5" w:rsidRPr="00EE5E43">
        <w:rPr>
          <w:rFonts w:ascii="Arial" w:hAnsi="Arial" w:cs="Arial"/>
          <w:noProof/>
        </w:rPr>
        <w:t xml:space="preserve"> </w:t>
      </w:r>
      <w:r w:rsidRPr="00EE5E43">
        <w:rPr>
          <w:rFonts w:ascii="Arial" w:hAnsi="Arial" w:cs="Arial"/>
          <w:noProof/>
        </w:rPr>
        <w:t>(pole měření),</w:t>
      </w:r>
    </w:p>
    <w:p w14:paraId="0C26341E" w14:textId="11E219D6" w:rsidR="00D83466" w:rsidRPr="00EE5E43" w:rsidRDefault="00D83466" w:rsidP="00D83466">
      <w:pPr>
        <w:pStyle w:val="Odstavecseseznamem"/>
        <w:spacing w:before="60"/>
        <w:jc w:val="both"/>
        <w:rPr>
          <w:rFonts w:ascii="Arial" w:hAnsi="Arial" w:cs="Arial"/>
          <w:noProof/>
        </w:rPr>
      </w:pPr>
      <w:r w:rsidRPr="00EE5E43">
        <w:rPr>
          <w:rFonts w:ascii="Arial" w:hAnsi="Arial" w:cs="Arial"/>
          <w:noProof/>
        </w:rPr>
        <w:t>Přívod kabelem, odvod na přípojnice</w:t>
      </w:r>
      <w:r w:rsidR="005A3CD0" w:rsidRPr="00EE5E43">
        <w:rPr>
          <w:rFonts w:ascii="Arial" w:hAnsi="Arial" w:cs="Arial"/>
          <w:noProof/>
        </w:rPr>
        <w:t xml:space="preserve"> (vlevo nebo</w:t>
      </w:r>
      <w:r w:rsidR="003B50E9">
        <w:rPr>
          <w:rFonts w:ascii="Arial" w:hAnsi="Arial" w:cs="Arial"/>
          <w:noProof/>
        </w:rPr>
        <w:t xml:space="preserve">/a </w:t>
      </w:r>
      <w:r w:rsidR="005A3CD0" w:rsidRPr="00EE5E43">
        <w:rPr>
          <w:rFonts w:ascii="Arial" w:hAnsi="Arial" w:cs="Arial"/>
          <w:noProof/>
        </w:rPr>
        <w:t>vpravo)</w:t>
      </w:r>
    </w:p>
    <w:p w14:paraId="0C26341F" w14:textId="769F87BF" w:rsidR="005A3CD0" w:rsidRPr="00EE5E43" w:rsidRDefault="005A3CD0"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2</w:t>
      </w:r>
      <w:r w:rsidR="00B90EC5" w:rsidRPr="00EE5E43">
        <w:rPr>
          <w:rFonts w:ascii="Arial" w:hAnsi="Arial" w:cs="Arial"/>
        </w:rPr>
        <w:t>, hlavní systém přípojnic izolovaný plynem SF6 v uzavřením tanku,</w:t>
      </w:r>
      <w:r w:rsidRPr="00EE5E43">
        <w:rPr>
          <w:rFonts w:ascii="Arial" w:hAnsi="Arial" w:cs="Arial"/>
          <w:noProof/>
        </w:rPr>
        <w:t xml:space="preserve"> vzduchem izolovan</w:t>
      </w:r>
      <w:r w:rsidR="00B90EC5" w:rsidRPr="00EE5E43">
        <w:rPr>
          <w:rFonts w:ascii="Arial" w:hAnsi="Arial" w:cs="Arial"/>
          <w:noProof/>
        </w:rPr>
        <w:t xml:space="preserve">ý </w:t>
      </w:r>
      <w:r w:rsidR="00B90EC5" w:rsidRPr="00EE5E43">
        <w:rPr>
          <w:rFonts w:ascii="Arial" w:hAnsi="Arial" w:cs="Arial"/>
        </w:rPr>
        <w:t>prostor pro montáž MTN a MTP </w:t>
      </w:r>
      <w:r w:rsidRPr="00EE5E43">
        <w:rPr>
          <w:rFonts w:ascii="Arial" w:hAnsi="Arial" w:cs="Arial"/>
          <w:noProof/>
        </w:rPr>
        <w:t>(pole měření),</w:t>
      </w:r>
    </w:p>
    <w:p w14:paraId="0C263420" w14:textId="313269E4" w:rsidR="005A3CD0" w:rsidRDefault="005A3CD0" w:rsidP="005A3CD0">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0C263421" w14:textId="77777777" w:rsidR="000F610D" w:rsidRPr="002D406D" w:rsidRDefault="000F610D" w:rsidP="002D406D">
      <w:pPr>
        <w:spacing w:before="60"/>
        <w:jc w:val="both"/>
        <w:rPr>
          <w:rFonts w:ascii="Arial" w:hAnsi="Arial" w:cs="Arial"/>
          <w:noProof/>
        </w:rPr>
      </w:pPr>
    </w:p>
    <w:p w14:paraId="0C263422" w14:textId="77777777" w:rsidR="001C172D" w:rsidRPr="00EE5E43" w:rsidRDefault="005A3CD0" w:rsidP="001C172D">
      <w:pPr>
        <w:spacing w:before="60"/>
        <w:jc w:val="both"/>
        <w:rPr>
          <w:rFonts w:ascii="Arial" w:hAnsi="Arial" w:cs="Arial"/>
          <w:i/>
          <w:noProof/>
        </w:rPr>
      </w:pPr>
      <w:r w:rsidRPr="00EE5E43">
        <w:rPr>
          <w:rFonts w:ascii="Arial" w:hAnsi="Arial" w:cs="Arial"/>
          <w:i/>
          <w:noProof/>
        </w:rPr>
        <w:t>Poznámka:</w:t>
      </w:r>
    </w:p>
    <w:p w14:paraId="0C263423" w14:textId="264B31EB" w:rsidR="005A3CD0" w:rsidRDefault="005A3CD0" w:rsidP="001C172D">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516B4E1D" w14:textId="26D4B40D" w:rsidR="002D406D" w:rsidRPr="00EE5E43" w:rsidRDefault="002D406D" w:rsidP="002D406D">
      <w:pPr>
        <w:pStyle w:val="Odstavecseseznamem"/>
        <w:numPr>
          <w:ilvl w:val="0"/>
          <w:numId w:val="38"/>
        </w:numPr>
        <w:spacing w:before="60"/>
        <w:jc w:val="both"/>
        <w:rPr>
          <w:rFonts w:ascii="Arial" w:hAnsi="Arial" w:cs="Arial"/>
          <w:noProof/>
        </w:rPr>
      </w:pPr>
      <w:r w:rsidRPr="00EE5E43">
        <w:rPr>
          <w:rFonts w:ascii="Arial" w:hAnsi="Arial" w:cs="Arial"/>
          <w:noProof/>
        </w:rPr>
        <w:t>Zapojení K, rozšiřitelné  obou stran</w:t>
      </w:r>
      <w:r>
        <w:rPr>
          <w:rFonts w:ascii="Arial" w:hAnsi="Arial" w:cs="Arial"/>
          <w:noProof/>
        </w:rPr>
        <w:t>, šířka pole 500 mm</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79C94F90" w14:textId="49B1945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w:t>
      </w:r>
      <w:r w:rsidR="00636A44" w:rsidRPr="00A75D8C">
        <w:rPr>
          <w:rFonts w:ascii="Arial" w:hAnsi="Arial" w:cs="Arial"/>
          <w:noProof/>
        </w:rPr>
        <w:t xml:space="preserve"> </w:t>
      </w:r>
      <w:r w:rsidR="00814A87" w:rsidRPr="00A75D8C">
        <w:rPr>
          <w:rFonts w:ascii="Arial" w:hAnsi="Arial" w:cs="Arial"/>
          <w:noProof/>
        </w:rPr>
        <w:t>PS</w:t>
      </w:r>
      <w:r w:rsidRPr="00A75D8C">
        <w:rPr>
          <w:rFonts w:ascii="Arial" w:hAnsi="Arial" w:cs="Arial"/>
          <w:noProof/>
        </w:rPr>
        <w:t xml:space="preserve"> </w:t>
      </w:r>
      <w:r w:rsidRPr="002D406D">
        <w:rPr>
          <w:rFonts w:ascii="Arial" w:hAnsi="Arial" w:cs="Arial"/>
          <w:noProof/>
        </w:rPr>
        <w:t>(bez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44E588E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34C23600" w14:textId="4FD7FE92" w:rsidR="00F77C86"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KKPSKKT</w:t>
      </w:r>
    </w:p>
    <w:p w14:paraId="2C4E14CF" w14:textId="6E397EE5" w:rsidR="003B50E9" w:rsidRDefault="003B50E9" w:rsidP="00F77C86">
      <w:pPr>
        <w:pStyle w:val="Odstavecseseznamem"/>
        <w:numPr>
          <w:ilvl w:val="0"/>
          <w:numId w:val="3"/>
        </w:numPr>
        <w:spacing w:before="60"/>
        <w:jc w:val="both"/>
        <w:rPr>
          <w:rFonts w:ascii="Arial" w:hAnsi="Arial" w:cs="Arial"/>
          <w:noProof/>
        </w:rPr>
      </w:pPr>
      <w:r>
        <w:rPr>
          <w:rFonts w:ascii="Arial" w:hAnsi="Arial" w:cs="Arial"/>
          <w:noProof/>
        </w:rPr>
        <w:t>Zapojení KKKM1</w:t>
      </w:r>
      <w:r w:rsidR="005930B9">
        <w:rPr>
          <w:rFonts w:ascii="Arial" w:hAnsi="Arial" w:cs="Arial"/>
          <w:noProof/>
        </w:rPr>
        <w:t xml:space="preserve"> (MTN varianta b) pro vlastní spotřebu)</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706B5E75" w14:textId="412F119E" w:rsidR="00EC4467" w:rsidRPr="004B74E7" w:rsidRDefault="00F77C86" w:rsidP="00F77C86">
      <w:pPr>
        <w:pStyle w:val="Odstavecseseznamem"/>
        <w:numPr>
          <w:ilvl w:val="0"/>
          <w:numId w:val="3"/>
        </w:numPr>
        <w:spacing w:before="60"/>
        <w:jc w:val="both"/>
        <w:rPr>
          <w:rFonts w:ascii="Arial" w:hAnsi="Arial" w:cs="Arial"/>
          <w:noProof/>
        </w:rPr>
      </w:pPr>
      <w:r w:rsidRPr="7238362C">
        <w:rPr>
          <w:rFonts w:ascii="Arial" w:hAnsi="Arial" w:cs="Arial"/>
          <w:noProof/>
        </w:rPr>
        <w:t>Zapojení KKK s vlastní spotřebou (</w:t>
      </w:r>
      <w:r w:rsidR="009B6D3E" w:rsidRPr="7238362C">
        <w:rPr>
          <w:rFonts w:ascii="Arial" w:hAnsi="Arial" w:cs="Arial"/>
          <w:noProof/>
        </w:rPr>
        <w:t>napájení z</w:t>
      </w:r>
      <w:r w:rsidR="00EC4467" w:rsidRPr="7238362C">
        <w:rPr>
          <w:rFonts w:ascii="Arial" w:hAnsi="Arial" w:cs="Arial"/>
          <w:noProof/>
        </w:rPr>
        <w:t> </w:t>
      </w:r>
      <w:r w:rsidRPr="7238362C">
        <w:rPr>
          <w:rFonts w:ascii="Arial" w:hAnsi="Arial" w:cs="Arial"/>
          <w:noProof/>
        </w:rPr>
        <w:t>MTN)</w:t>
      </w:r>
      <w:r w:rsidR="007C78CF" w:rsidRPr="7238362C">
        <w:rPr>
          <w:rFonts w:ascii="Arial" w:hAnsi="Arial" w:cs="Arial"/>
          <w:noProof/>
        </w:rPr>
        <w:t xml:space="preserve"> – lze řešit např. </w:t>
      </w:r>
      <w:r w:rsidR="0083261E" w:rsidRPr="7238362C">
        <w:rPr>
          <w:rFonts w:ascii="Arial" w:hAnsi="Arial" w:cs="Arial"/>
          <w:noProof/>
        </w:rPr>
        <w:t>přídáním čtvrtého pole (pole</w:t>
      </w:r>
      <w:r w:rsidR="00AF3467" w:rsidRPr="7238362C">
        <w:rPr>
          <w:rFonts w:ascii="Arial" w:hAnsi="Arial" w:cs="Arial"/>
          <w:noProof/>
        </w:rPr>
        <w:t xml:space="preserve"> měření s instalovaným 1F dvoupólově izolovaným transformátorem napětí</w:t>
      </w:r>
      <w:r w:rsidR="00F07D55" w:rsidRPr="7238362C">
        <w:rPr>
          <w:rFonts w:ascii="Arial" w:hAnsi="Arial" w:cs="Arial"/>
          <w:noProof/>
        </w:rPr>
        <w:t xml:space="preserve"> s integrovanou pojistkou</w:t>
      </w:r>
      <w:r w:rsidR="00AF3467" w:rsidRPr="7238362C">
        <w:rPr>
          <w:rFonts w:ascii="Arial" w:hAnsi="Arial" w:cs="Arial"/>
          <w:noProof/>
        </w:rPr>
        <w:t>)</w:t>
      </w:r>
    </w:p>
    <w:p w14:paraId="54B6FA97" w14:textId="5D5AB940" w:rsidR="00EC4467" w:rsidRPr="004B74E7" w:rsidRDefault="00EC4467" w:rsidP="00EC4467">
      <w:pPr>
        <w:pStyle w:val="Odstavecseseznamem"/>
        <w:spacing w:before="60"/>
        <w:jc w:val="both"/>
        <w:rPr>
          <w:rFonts w:ascii="Arial" w:hAnsi="Arial" w:cs="Arial"/>
          <w:noProof/>
        </w:rPr>
      </w:pPr>
      <w:r w:rsidRPr="004B74E7">
        <w:rPr>
          <w:rFonts w:ascii="Arial" w:hAnsi="Arial" w:cs="Arial"/>
          <w:noProof/>
        </w:rPr>
        <w:t>Poznámka:</w:t>
      </w:r>
      <w:r w:rsidR="00921CE6">
        <w:rPr>
          <w:rFonts w:ascii="Arial" w:hAnsi="Arial" w:cs="Arial"/>
          <w:noProof/>
        </w:rPr>
        <w:t xml:space="preserve"> </w:t>
      </w:r>
    </w:p>
    <w:p w14:paraId="199E724C" w14:textId="6DB0631F" w:rsidR="00F77C86" w:rsidRPr="004B74E7" w:rsidRDefault="00EC4467" w:rsidP="002D406D">
      <w:pPr>
        <w:pStyle w:val="Odstavecseseznamem"/>
        <w:spacing w:before="60"/>
        <w:jc w:val="both"/>
        <w:rPr>
          <w:rFonts w:ascii="Arial" w:hAnsi="Arial" w:cs="Arial"/>
          <w:noProof/>
        </w:rPr>
      </w:pPr>
      <w:r w:rsidRPr="004B74E7">
        <w:rPr>
          <w:rFonts w:ascii="Arial" w:hAnsi="Arial" w:cs="Arial"/>
          <w:noProof/>
        </w:rPr>
        <w:t>Samostatný modul K včetně MTN (zajištění vlastní spotřeby) připojených na přípojnici. Pole K s MTN o max.šířce 500 mm.</w:t>
      </w:r>
    </w:p>
    <w:p w14:paraId="22D78ED4" w14:textId="7F05CCE8" w:rsidR="006A1139" w:rsidRPr="00036992" w:rsidRDefault="006A1139" w:rsidP="002D406D">
      <w:pPr>
        <w:pStyle w:val="Odstavecseseznamem"/>
        <w:spacing w:before="60"/>
        <w:jc w:val="both"/>
        <w:rPr>
          <w:rFonts w:ascii="Arial" w:hAnsi="Arial" w:cs="Arial"/>
          <w:noProof/>
          <w:color w:val="FF0000"/>
        </w:rPr>
      </w:pPr>
      <w:r w:rsidRPr="00036992">
        <w:rPr>
          <w:rFonts w:ascii="Arial" w:hAnsi="Arial" w:cs="Arial"/>
          <w:noProof/>
          <w:color w:val="FF0000"/>
        </w:rPr>
        <w:t xml:space="preserve">Součástí dodávky je i MTN viz. </w:t>
      </w:r>
      <w:r w:rsidR="00BD5B56" w:rsidRPr="00036992">
        <w:rPr>
          <w:rFonts w:ascii="Arial" w:hAnsi="Arial" w:cs="Arial"/>
          <w:noProof/>
          <w:color w:val="FF0000"/>
        </w:rPr>
        <w:t>tabulka níže</w:t>
      </w:r>
      <w:r w:rsidRPr="00036992">
        <w:rPr>
          <w:rFonts w:ascii="Arial" w:hAnsi="Arial" w:cs="Arial"/>
          <w:noProof/>
          <w:color w:val="FF0000"/>
        </w:rPr>
        <w:t xml:space="preserve"> včetně jeho instalace.</w:t>
      </w:r>
    </w:p>
    <w:tbl>
      <w:tblPr>
        <w:tblStyle w:val="Mkatabulky"/>
        <w:tblW w:w="0" w:type="auto"/>
        <w:tblLook w:val="04A0" w:firstRow="1" w:lastRow="0" w:firstColumn="1" w:lastColumn="0" w:noHBand="0" w:noVBand="1"/>
      </w:tblPr>
      <w:tblGrid>
        <w:gridCol w:w="7379"/>
        <w:gridCol w:w="2251"/>
      </w:tblGrid>
      <w:tr w:rsidR="00036992" w:rsidRPr="00036992" w14:paraId="2FC8BCA8" w14:textId="77777777" w:rsidTr="009724CB">
        <w:tc>
          <w:tcPr>
            <w:tcW w:w="9630" w:type="dxa"/>
            <w:gridSpan w:val="2"/>
          </w:tcPr>
          <w:p w14:paraId="74F6813B" w14:textId="77777777" w:rsidR="00A64ECD" w:rsidRPr="00036992" w:rsidRDefault="00A64ECD" w:rsidP="009724CB">
            <w:pPr>
              <w:tabs>
                <w:tab w:val="left" w:pos="4678"/>
              </w:tabs>
              <w:spacing w:before="60" w:line="276" w:lineRule="auto"/>
              <w:jc w:val="both"/>
              <w:rPr>
                <w:rFonts w:ascii="Arial" w:hAnsi="Arial" w:cs="Arial"/>
                <w:noProof/>
                <w:color w:val="FF0000"/>
              </w:rPr>
            </w:pPr>
            <w:r w:rsidRPr="00036992">
              <w:rPr>
                <w:rFonts w:ascii="Arial" w:hAnsi="Arial" w:cs="Arial"/>
                <w:noProof/>
                <w:color w:val="FF0000"/>
              </w:rPr>
              <w:t>Přístrojový transformátor napětí jednofázový dvoupolově izolovaný (1x)</w:t>
            </w:r>
            <w:r w:rsidRPr="00036992">
              <w:rPr>
                <w:color w:val="FF0000"/>
              </w:rPr>
              <w:tab/>
            </w:r>
          </w:p>
        </w:tc>
      </w:tr>
      <w:tr w:rsidR="00036992" w:rsidRPr="00036992" w14:paraId="56037443" w14:textId="77777777" w:rsidTr="009724CB">
        <w:tc>
          <w:tcPr>
            <w:tcW w:w="7379" w:type="dxa"/>
          </w:tcPr>
          <w:p w14:paraId="42FA3533" w14:textId="77777777" w:rsidR="00A64ECD" w:rsidRPr="00036992" w:rsidRDefault="00A64ECD" w:rsidP="009724CB">
            <w:pPr>
              <w:tabs>
                <w:tab w:val="left" w:pos="4678"/>
              </w:tabs>
              <w:spacing w:before="60" w:line="276" w:lineRule="auto"/>
              <w:jc w:val="both"/>
              <w:rPr>
                <w:rFonts w:ascii="Arial" w:hAnsi="Arial" w:cs="Arial"/>
                <w:noProof/>
                <w:color w:val="FF0000"/>
              </w:rPr>
            </w:pPr>
            <w:r w:rsidRPr="00036992">
              <w:rPr>
                <w:rFonts w:ascii="Arial" w:hAnsi="Arial" w:cs="Arial"/>
                <w:noProof/>
                <w:color w:val="FF0000"/>
              </w:rPr>
              <w:t>Napěťový rozsah</w:t>
            </w:r>
          </w:p>
        </w:tc>
        <w:tc>
          <w:tcPr>
            <w:tcW w:w="2251" w:type="dxa"/>
          </w:tcPr>
          <w:p w14:paraId="13D7B9E6" w14:textId="05977D0B" w:rsidR="00A64ECD" w:rsidRPr="00036992" w:rsidRDefault="00BD5B56" w:rsidP="009724CB">
            <w:pPr>
              <w:tabs>
                <w:tab w:val="left" w:pos="4678"/>
              </w:tabs>
              <w:spacing w:before="60" w:line="276" w:lineRule="auto"/>
              <w:jc w:val="both"/>
              <w:rPr>
                <w:rFonts w:ascii="Arial" w:hAnsi="Arial" w:cs="Arial"/>
                <w:noProof/>
                <w:color w:val="FF0000"/>
              </w:rPr>
            </w:pPr>
            <w:r w:rsidRPr="00036992">
              <w:rPr>
                <w:rFonts w:ascii="Arial" w:hAnsi="Arial" w:cs="Arial"/>
                <w:noProof/>
                <w:color w:val="FF0000"/>
              </w:rPr>
              <w:t>22/</w:t>
            </w:r>
            <w:r w:rsidRPr="00036992">
              <w:rPr>
                <w:rFonts w:ascii="Arial" w:hAnsi="Arial" w:cs="Arial"/>
                <w:noProof/>
                <w:color w:val="FF0000"/>
              </w:rPr>
              <w:sym w:font="Symbol" w:char="F0D6"/>
            </w:r>
            <w:r w:rsidRPr="00036992">
              <w:rPr>
                <w:rFonts w:ascii="Arial" w:hAnsi="Arial" w:cs="Arial"/>
                <w:noProof/>
                <w:color w:val="FF0000"/>
              </w:rPr>
              <w:t>3</w:t>
            </w:r>
            <w:r w:rsidR="00A64ECD" w:rsidRPr="00036992">
              <w:rPr>
                <w:rFonts w:ascii="Arial" w:hAnsi="Arial" w:cs="Arial"/>
                <w:noProof/>
                <w:color w:val="FF0000"/>
              </w:rPr>
              <w:t>/</w:t>
            </w:r>
            <w:r w:rsidRPr="00036992">
              <w:rPr>
                <w:rFonts w:ascii="Arial" w:hAnsi="Arial" w:cs="Arial"/>
                <w:noProof/>
                <w:color w:val="FF0000"/>
              </w:rPr>
              <w:t>/0,4/</w:t>
            </w:r>
            <w:r w:rsidRPr="00036992">
              <w:rPr>
                <w:rFonts w:ascii="Arial" w:hAnsi="Arial" w:cs="Arial"/>
                <w:noProof/>
                <w:color w:val="FF0000"/>
              </w:rPr>
              <w:sym w:font="Symbol" w:char="F0D6"/>
            </w:r>
            <w:r w:rsidRPr="00036992">
              <w:rPr>
                <w:rFonts w:ascii="Arial" w:hAnsi="Arial" w:cs="Arial"/>
                <w:noProof/>
                <w:color w:val="FF0000"/>
              </w:rPr>
              <w:t>3</w:t>
            </w:r>
            <w:r w:rsidR="00A64ECD" w:rsidRPr="00036992">
              <w:rPr>
                <w:rFonts w:ascii="Arial" w:hAnsi="Arial" w:cs="Arial"/>
                <w:noProof/>
                <w:color w:val="FF0000"/>
              </w:rPr>
              <w:t xml:space="preserve"> kV</w:t>
            </w:r>
          </w:p>
        </w:tc>
      </w:tr>
      <w:tr w:rsidR="00036992" w:rsidRPr="00036992" w14:paraId="2858F281" w14:textId="77777777" w:rsidTr="009724CB">
        <w:tc>
          <w:tcPr>
            <w:tcW w:w="7379" w:type="dxa"/>
            <w:vAlign w:val="center"/>
          </w:tcPr>
          <w:p w14:paraId="5D9001A9" w14:textId="77777777" w:rsidR="00A64ECD" w:rsidRPr="00036992" w:rsidRDefault="00A64ECD" w:rsidP="009724CB">
            <w:pPr>
              <w:tabs>
                <w:tab w:val="left" w:pos="4678"/>
              </w:tabs>
              <w:spacing w:before="60" w:line="276" w:lineRule="auto"/>
              <w:rPr>
                <w:rFonts w:ascii="Arial" w:eastAsia="Arial" w:hAnsi="Arial" w:cs="Arial"/>
                <w:noProof/>
                <w:color w:val="FF0000"/>
              </w:rPr>
            </w:pPr>
            <w:r w:rsidRPr="00036992">
              <w:rPr>
                <w:rFonts w:ascii="Arial" w:hAnsi="Arial" w:cs="Arial"/>
                <w:noProof/>
                <w:color w:val="FF0000"/>
              </w:rPr>
              <w:t>Jmenovitý výkon transformátoru Sth</w:t>
            </w:r>
          </w:p>
        </w:tc>
        <w:tc>
          <w:tcPr>
            <w:tcW w:w="2251" w:type="dxa"/>
          </w:tcPr>
          <w:p w14:paraId="789C89A2" w14:textId="530714D7" w:rsidR="00A64ECD" w:rsidRPr="00036992" w:rsidRDefault="00A64ECD" w:rsidP="009724CB">
            <w:pPr>
              <w:spacing w:before="60" w:line="276" w:lineRule="auto"/>
              <w:jc w:val="both"/>
              <w:rPr>
                <w:rFonts w:ascii="Arial" w:hAnsi="Arial" w:cs="Arial"/>
                <w:noProof/>
                <w:color w:val="FF0000"/>
              </w:rPr>
            </w:pPr>
            <w:r w:rsidRPr="00036992">
              <w:rPr>
                <w:rFonts w:ascii="Arial" w:hAnsi="Arial" w:cs="Arial"/>
                <w:noProof/>
                <w:color w:val="FF0000"/>
              </w:rPr>
              <w:t>min. 400 VA</w:t>
            </w:r>
          </w:p>
        </w:tc>
      </w:tr>
      <w:tr w:rsidR="00036992" w:rsidRPr="00036992" w14:paraId="40C566A9" w14:textId="77777777" w:rsidTr="009724CB">
        <w:tc>
          <w:tcPr>
            <w:tcW w:w="7379" w:type="dxa"/>
          </w:tcPr>
          <w:p w14:paraId="775C1301" w14:textId="77777777" w:rsidR="00A64ECD" w:rsidRPr="00036992" w:rsidRDefault="00A64ECD" w:rsidP="009724CB">
            <w:pPr>
              <w:tabs>
                <w:tab w:val="left" w:pos="4678"/>
              </w:tabs>
              <w:spacing w:before="60" w:line="276" w:lineRule="auto"/>
              <w:jc w:val="both"/>
              <w:rPr>
                <w:rFonts w:ascii="Arial" w:hAnsi="Arial" w:cs="Arial"/>
                <w:color w:val="FF0000"/>
              </w:rPr>
            </w:pPr>
            <w:r w:rsidRPr="00036992">
              <w:rPr>
                <w:rFonts w:ascii="Arial" w:hAnsi="Arial" w:cs="Arial"/>
                <w:noProof/>
                <w:color w:val="FF0000"/>
              </w:rPr>
              <w:t xml:space="preserve">Nejvyšší napětí soustavy                  </w:t>
            </w:r>
          </w:p>
        </w:tc>
        <w:tc>
          <w:tcPr>
            <w:tcW w:w="2251" w:type="dxa"/>
          </w:tcPr>
          <w:p w14:paraId="22520CE5" w14:textId="77777777" w:rsidR="00A64ECD" w:rsidRPr="00036992" w:rsidRDefault="00A64ECD" w:rsidP="009724CB">
            <w:pPr>
              <w:tabs>
                <w:tab w:val="left" w:pos="4678"/>
              </w:tabs>
              <w:spacing w:before="60" w:line="276" w:lineRule="auto"/>
              <w:jc w:val="both"/>
              <w:rPr>
                <w:rFonts w:ascii="Arial" w:hAnsi="Arial" w:cs="Arial"/>
                <w:color w:val="FF0000"/>
              </w:rPr>
            </w:pPr>
            <w:r w:rsidRPr="00036992">
              <w:rPr>
                <w:rFonts w:ascii="Arial" w:hAnsi="Arial" w:cs="Arial"/>
                <w:noProof/>
                <w:color w:val="FF0000"/>
              </w:rPr>
              <w:t>24/25 kV</w:t>
            </w:r>
          </w:p>
        </w:tc>
      </w:tr>
      <w:tr w:rsidR="00036992" w:rsidRPr="00036992" w14:paraId="0657C73D" w14:textId="77777777" w:rsidTr="009724CB">
        <w:trPr>
          <w:trHeight w:val="300"/>
        </w:trPr>
        <w:tc>
          <w:tcPr>
            <w:tcW w:w="7379" w:type="dxa"/>
          </w:tcPr>
          <w:p w14:paraId="70004772"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 xml:space="preserve">Zkušební napětí střídavé  </w:t>
            </w:r>
          </w:p>
        </w:tc>
        <w:tc>
          <w:tcPr>
            <w:tcW w:w="2251" w:type="dxa"/>
          </w:tcPr>
          <w:p w14:paraId="55C1C963"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50 kV</w:t>
            </w:r>
          </w:p>
        </w:tc>
      </w:tr>
      <w:tr w:rsidR="00036992" w:rsidRPr="00036992" w14:paraId="5443C594" w14:textId="77777777" w:rsidTr="009724CB">
        <w:trPr>
          <w:trHeight w:val="300"/>
        </w:trPr>
        <w:tc>
          <w:tcPr>
            <w:tcW w:w="7379" w:type="dxa"/>
          </w:tcPr>
          <w:p w14:paraId="708334B1"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 xml:space="preserve">Zkušební napětí impulsní           </w:t>
            </w:r>
          </w:p>
        </w:tc>
        <w:tc>
          <w:tcPr>
            <w:tcW w:w="2251" w:type="dxa"/>
          </w:tcPr>
          <w:p w14:paraId="748959B7"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125 kV</w:t>
            </w:r>
          </w:p>
        </w:tc>
      </w:tr>
      <w:tr w:rsidR="00036992" w:rsidRPr="00036992" w14:paraId="5BD47074" w14:textId="77777777" w:rsidTr="009724CB">
        <w:trPr>
          <w:trHeight w:val="300"/>
        </w:trPr>
        <w:tc>
          <w:tcPr>
            <w:tcW w:w="7379" w:type="dxa"/>
          </w:tcPr>
          <w:p w14:paraId="46FFA199"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 xml:space="preserve">Jmenovité primární napětí    </w:t>
            </w:r>
          </w:p>
        </w:tc>
        <w:tc>
          <w:tcPr>
            <w:tcW w:w="2251" w:type="dxa"/>
          </w:tcPr>
          <w:p w14:paraId="57E73476" w14:textId="5E69A2F5" w:rsidR="00A64ECD" w:rsidRPr="00036992" w:rsidRDefault="00BD5B56" w:rsidP="009724CB">
            <w:pPr>
              <w:spacing w:before="60" w:line="276" w:lineRule="auto"/>
              <w:jc w:val="both"/>
              <w:rPr>
                <w:rFonts w:ascii="Arial" w:hAnsi="Arial" w:cs="Arial"/>
                <w:color w:val="FF0000"/>
              </w:rPr>
            </w:pPr>
            <w:r w:rsidRPr="00036992">
              <w:rPr>
                <w:rFonts w:ascii="Arial" w:hAnsi="Arial" w:cs="Arial"/>
                <w:noProof/>
                <w:color w:val="FF0000"/>
              </w:rPr>
              <w:t>22/</w:t>
            </w:r>
            <w:r w:rsidRPr="00036992">
              <w:rPr>
                <w:rFonts w:ascii="Arial" w:hAnsi="Arial" w:cs="Arial"/>
                <w:noProof/>
                <w:color w:val="FF0000"/>
              </w:rPr>
              <w:sym w:font="Symbol" w:char="F0D6"/>
            </w:r>
            <w:r w:rsidRPr="00036992">
              <w:rPr>
                <w:rFonts w:ascii="Arial" w:hAnsi="Arial" w:cs="Arial"/>
                <w:noProof/>
                <w:color w:val="FF0000"/>
              </w:rPr>
              <w:t>3</w:t>
            </w:r>
            <w:r w:rsidR="00A64ECD" w:rsidRPr="00036992">
              <w:rPr>
                <w:rFonts w:ascii="Arial" w:hAnsi="Arial" w:cs="Arial"/>
                <w:color w:val="FF0000"/>
              </w:rPr>
              <w:t xml:space="preserve"> kV</w:t>
            </w:r>
          </w:p>
        </w:tc>
      </w:tr>
      <w:tr w:rsidR="00036992" w:rsidRPr="00036992" w14:paraId="50576D59" w14:textId="77777777" w:rsidTr="009724CB">
        <w:trPr>
          <w:trHeight w:val="300"/>
        </w:trPr>
        <w:tc>
          <w:tcPr>
            <w:tcW w:w="7379" w:type="dxa"/>
          </w:tcPr>
          <w:p w14:paraId="7FEAE6F5"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Jmenovité napětí sekundární</w:t>
            </w:r>
          </w:p>
        </w:tc>
        <w:tc>
          <w:tcPr>
            <w:tcW w:w="2251" w:type="dxa"/>
          </w:tcPr>
          <w:p w14:paraId="71AB3684" w14:textId="3DE263E0" w:rsidR="00A64ECD" w:rsidRPr="00036992" w:rsidRDefault="00BD5B56" w:rsidP="009724CB">
            <w:pPr>
              <w:spacing w:before="60" w:line="276" w:lineRule="auto"/>
              <w:jc w:val="both"/>
              <w:rPr>
                <w:rFonts w:ascii="Arial" w:hAnsi="Arial" w:cs="Arial"/>
                <w:color w:val="FF0000"/>
              </w:rPr>
            </w:pPr>
            <w:r w:rsidRPr="00036992">
              <w:rPr>
                <w:rFonts w:ascii="Arial" w:hAnsi="Arial" w:cs="Arial"/>
                <w:noProof/>
                <w:color w:val="FF0000"/>
              </w:rPr>
              <w:t>0,4/</w:t>
            </w:r>
            <w:r w:rsidRPr="00036992">
              <w:rPr>
                <w:rFonts w:ascii="Arial" w:hAnsi="Arial" w:cs="Arial"/>
                <w:noProof/>
                <w:color w:val="FF0000"/>
              </w:rPr>
              <w:sym w:font="Symbol" w:char="F0D6"/>
            </w:r>
            <w:r w:rsidRPr="00036992">
              <w:rPr>
                <w:rFonts w:ascii="Arial" w:hAnsi="Arial" w:cs="Arial"/>
                <w:noProof/>
                <w:color w:val="FF0000"/>
              </w:rPr>
              <w:t>3 kV</w:t>
            </w:r>
          </w:p>
        </w:tc>
      </w:tr>
      <w:tr w:rsidR="00036992" w:rsidRPr="00036992" w14:paraId="6D8DF7BC" w14:textId="77777777" w:rsidTr="009724CB">
        <w:trPr>
          <w:trHeight w:val="300"/>
        </w:trPr>
        <w:tc>
          <w:tcPr>
            <w:tcW w:w="7379" w:type="dxa"/>
          </w:tcPr>
          <w:p w14:paraId="450AD1DD"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Jmenovitý kmitočet</w:t>
            </w:r>
          </w:p>
        </w:tc>
        <w:tc>
          <w:tcPr>
            <w:tcW w:w="2251" w:type="dxa"/>
          </w:tcPr>
          <w:p w14:paraId="4B21DFA7"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color w:val="FF0000"/>
              </w:rPr>
              <w:t>50 Hz</w:t>
            </w:r>
          </w:p>
        </w:tc>
      </w:tr>
      <w:tr w:rsidR="00036992" w:rsidRPr="00036992" w14:paraId="6B4806FC" w14:textId="77777777" w:rsidTr="009724CB">
        <w:trPr>
          <w:trHeight w:val="300"/>
        </w:trPr>
        <w:tc>
          <w:tcPr>
            <w:tcW w:w="9630" w:type="dxa"/>
            <w:gridSpan w:val="2"/>
          </w:tcPr>
          <w:p w14:paraId="069A5F55" w14:textId="77777777" w:rsidR="00A64ECD" w:rsidRPr="00036992" w:rsidRDefault="00A64ECD" w:rsidP="009724CB">
            <w:pPr>
              <w:spacing w:before="60" w:line="276" w:lineRule="auto"/>
              <w:jc w:val="both"/>
              <w:rPr>
                <w:rFonts w:ascii="Arial" w:hAnsi="Arial" w:cs="Arial"/>
                <w:color w:val="FF0000"/>
              </w:rPr>
            </w:pPr>
            <w:r w:rsidRPr="00036992">
              <w:rPr>
                <w:rFonts w:ascii="Arial" w:hAnsi="Arial" w:cs="Arial"/>
                <w:noProof/>
                <w:color w:val="FF0000"/>
              </w:rPr>
              <w:t>Integrované jištění na hladině vyššího napětí</w:t>
            </w:r>
          </w:p>
        </w:tc>
      </w:tr>
      <w:tr w:rsidR="00036992" w:rsidRPr="00036992" w14:paraId="63F22DAD" w14:textId="77777777" w:rsidTr="009724CB">
        <w:trPr>
          <w:trHeight w:val="300"/>
        </w:trPr>
        <w:tc>
          <w:tcPr>
            <w:tcW w:w="9630" w:type="dxa"/>
            <w:gridSpan w:val="2"/>
          </w:tcPr>
          <w:p w14:paraId="4540D9D9" w14:textId="7E90627B" w:rsidR="00A64ECD" w:rsidRPr="00036992" w:rsidRDefault="002179BC" w:rsidP="009724CB">
            <w:pPr>
              <w:tabs>
                <w:tab w:val="left" w:pos="4678"/>
              </w:tabs>
              <w:spacing w:before="60" w:line="276" w:lineRule="auto"/>
              <w:jc w:val="both"/>
              <w:rPr>
                <w:rFonts w:ascii="Arial" w:hAnsi="Arial" w:cs="Arial"/>
                <w:strike/>
                <w:noProof/>
                <w:color w:val="FF0000"/>
              </w:rPr>
            </w:pPr>
            <w:r w:rsidRPr="002179BC">
              <w:rPr>
                <w:rFonts w:ascii="Arial" w:hAnsi="Arial" w:cs="Arial"/>
                <w:noProof/>
                <w:color w:val="FF0000"/>
              </w:rPr>
              <w:t>Zařízení  pro omezení ferorezonance nutné, v případě, pokud by byl MTN náchylný k ferorezonančním jevům.</w:t>
            </w:r>
          </w:p>
        </w:tc>
      </w:tr>
    </w:tbl>
    <w:p w14:paraId="4C47AE4C" w14:textId="77777777" w:rsidR="00A64ECD" w:rsidRDefault="00A64ECD" w:rsidP="002D406D">
      <w:pPr>
        <w:pStyle w:val="Odstavecseseznamem"/>
        <w:spacing w:before="60"/>
        <w:jc w:val="both"/>
        <w:rPr>
          <w:rFonts w:ascii="Arial" w:hAnsi="Arial" w:cs="Arial"/>
          <w:noProof/>
        </w:rPr>
      </w:pP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lastRenderedPageBreak/>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18ABEF56"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Signalizace stavů spínacích prvků</w:t>
      </w:r>
    </w:p>
    <w:p w14:paraId="72818881" w14:textId="5E7139D6"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(3ZAP/3VYP u odpínače, 2ZAP/2VYP u zkratovače)</w:t>
      </w:r>
    </w:p>
    <w:p w14:paraId="6E5EBE43" w14:textId="7E1D5E8A"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transformátoru s odpínačem a pojistkami (signalizace spínacích prvků, vybavení pojistky, přítomnosti plynu SF</w:t>
      </w:r>
      <w:r w:rsidRPr="002D406D">
        <w:rPr>
          <w:rFonts w:ascii="Arial" w:hAnsi="Arial" w:cs="Arial"/>
          <w:noProof/>
          <w:vertAlign w:val="subscript"/>
        </w:rPr>
        <w:t>6</w:t>
      </w:r>
      <w:r w:rsidRPr="002D406D">
        <w:rPr>
          <w:rFonts w:ascii="Arial" w:hAnsi="Arial" w:cs="Arial"/>
          <w:noProof/>
        </w:rPr>
        <w:t>)</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603ABBFF"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Nadstavbová skříň nad celým rozvaděčem VN, výška </w:t>
      </w:r>
      <w:r w:rsidR="002A3C5A" w:rsidRPr="00FF34B1">
        <w:rPr>
          <w:rFonts w:ascii="Arial" w:hAnsi="Arial" w:cs="Arial"/>
          <w:noProof/>
          <w:color w:val="FF0000"/>
        </w:rPr>
        <w:t>30 až 40 cm včetně</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D406D" w:rsidRDefault="00D13C51">
      <w:pPr>
        <w:pStyle w:val="Odstavecseseznamem"/>
        <w:spacing w:before="60"/>
        <w:jc w:val="both"/>
        <w:rPr>
          <w:rFonts w:ascii="Arial" w:hAnsi="Arial" w:cs="Arial"/>
          <w:noProof/>
        </w:rPr>
      </w:pPr>
    </w:p>
    <w:p w14:paraId="0C3C6808" w14:textId="4D6DD547" w:rsidR="00A47B0E" w:rsidRPr="002D406D" w:rsidRDefault="00A47B0E">
      <w:pPr>
        <w:pStyle w:val="Odstavecseseznamem"/>
        <w:spacing w:before="60"/>
        <w:jc w:val="both"/>
        <w:rPr>
          <w:rFonts w:ascii="Arial" w:hAnsi="Arial" w:cs="Arial"/>
          <w:noProof/>
        </w:rPr>
      </w:pPr>
      <w:r w:rsidRPr="002D406D">
        <w:rPr>
          <w:rFonts w:ascii="Arial" w:hAnsi="Arial" w:cs="Arial"/>
          <w:noProof/>
        </w:rPr>
        <w:t>Varianta: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77777777"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Zařízení pro plnění plynem</w:t>
      </w:r>
    </w:p>
    <w:p w14:paraId="0C263426" w14:textId="77777777" w:rsidR="001C172D" w:rsidRPr="00EE5E43" w:rsidRDefault="00B33382" w:rsidP="001C172D">
      <w:pPr>
        <w:spacing w:before="60"/>
        <w:jc w:val="both"/>
        <w:rPr>
          <w:rFonts w:ascii="Arial" w:hAnsi="Arial" w:cs="Arial"/>
          <w:noProof/>
        </w:rPr>
      </w:pPr>
      <w:r w:rsidRPr="00EE5E43">
        <w:rPr>
          <w:rFonts w:ascii="Arial" w:hAnsi="Arial" w:cs="Arial"/>
          <w:noProof/>
        </w:rPr>
        <w:t xml:space="preserve">Plnění nádoby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77777777" w:rsidR="00B33382" w:rsidRPr="00EE5E43"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(plynem SF</w:t>
      </w:r>
      <w:r w:rsidRPr="00EE5E43">
        <w:rPr>
          <w:rFonts w:ascii="Arial" w:hAnsi="Arial" w:cs="Arial"/>
          <w:noProof/>
          <w:vertAlign w:val="subscript"/>
        </w:rPr>
        <w:t>6</w:t>
      </w:r>
      <w:r w:rsidRPr="00EE5E43">
        <w:rPr>
          <w:rFonts w:ascii="Arial" w:hAnsi="Arial" w:cs="Arial"/>
          <w:noProof/>
        </w:rPr>
        <w:t>), musí být z nádoby odstraněna případná vlhkost. Za účelem absorbování zbytkové vlhkosti je přípustné použití sušicích činidel v nádrži.</w:t>
      </w: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375D92" w:rsidRDefault="00C97A8B" w:rsidP="00B33382">
      <w:pPr>
        <w:spacing w:before="60"/>
        <w:jc w:val="both"/>
        <w:rPr>
          <w:rFonts w:ascii="Arial" w:hAnsi="Arial" w:cs="Arial"/>
          <w:noProof/>
        </w:rPr>
      </w:pPr>
      <w:r w:rsidRPr="00375D92">
        <w:rPr>
          <w:rFonts w:ascii="Arial" w:hAnsi="Arial" w:cs="Arial"/>
          <w:noProof/>
        </w:rPr>
        <w:lastRenderedPageBreak/>
        <w:t>Varianta: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77777777" w:rsidR="00520039" w:rsidRPr="00EE5E43" w:rsidRDefault="00920537" w:rsidP="00B33382">
      <w:pPr>
        <w:spacing w:before="60"/>
        <w:jc w:val="both"/>
        <w:rPr>
          <w:rFonts w:ascii="Arial" w:hAnsi="Arial" w:cs="Arial"/>
          <w:noProof/>
        </w:rPr>
      </w:pPr>
      <w:r w:rsidRPr="00EE5E43">
        <w:rPr>
          <w:rFonts w:ascii="Arial" w:hAnsi="Arial" w:cs="Arial"/>
          <w:noProof/>
        </w:rPr>
        <w:t>Výška rozvaděče je 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EE5E43" w:rsidRDefault="000F531E" w:rsidP="00B33382">
      <w:pPr>
        <w:spacing w:before="60"/>
        <w:jc w:val="both"/>
        <w:rPr>
          <w:rFonts w:ascii="Arial" w:hAnsi="Arial" w:cs="Arial"/>
          <w:noProof/>
          <w:u w:val="single"/>
        </w:rPr>
      </w:pPr>
      <w:r w:rsidRPr="00EE5E43">
        <w:rPr>
          <w:rFonts w:ascii="Arial" w:hAnsi="Arial" w:cs="Arial"/>
          <w:noProof/>
          <w:u w:val="single"/>
        </w:rPr>
        <w:t>Varianta:</w:t>
      </w:r>
    </w:p>
    <w:p w14:paraId="0C263431" w14:textId="4BB2BABF"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0C263432" w14:textId="5A8DE6B8" w:rsidR="000F531E" w:rsidRDefault="000F531E"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1926"/>
        <w:gridCol w:w="1926"/>
        <w:gridCol w:w="1926"/>
        <w:gridCol w:w="1926"/>
        <w:gridCol w:w="1926"/>
      </w:tblGrid>
      <w:tr w:rsidR="004D6DB2" w:rsidRPr="00814A87" w14:paraId="117902C0" w14:textId="77777777" w:rsidTr="004D6DB2">
        <w:tc>
          <w:tcPr>
            <w:tcW w:w="1926"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926"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926"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926" w:type="dxa"/>
          </w:tcPr>
          <w:p w14:paraId="6B0CB94E" w14:textId="5CEA3581" w:rsidR="004D6DB2" w:rsidRPr="00814A87" w:rsidRDefault="004D6DB2" w:rsidP="002D406D">
            <w:pPr>
              <w:spacing w:before="60"/>
              <w:jc w:val="center"/>
              <w:rPr>
                <w:rFonts w:ascii="Arial" w:hAnsi="Arial" w:cs="Arial"/>
                <w:noProof/>
              </w:rPr>
            </w:pPr>
            <w:r w:rsidRPr="00814A87">
              <w:rPr>
                <w:rFonts w:ascii="Arial" w:hAnsi="Arial" w:cs="Arial"/>
                <w:noProof/>
              </w:rPr>
              <w:t>KKKT</w:t>
            </w:r>
          </w:p>
        </w:tc>
        <w:tc>
          <w:tcPr>
            <w:tcW w:w="1926" w:type="dxa"/>
          </w:tcPr>
          <w:p w14:paraId="622DC8B0" w14:textId="0979A8C5" w:rsidR="004D6DB2" w:rsidRPr="00814A87" w:rsidRDefault="004D6DB2" w:rsidP="002D406D">
            <w:pPr>
              <w:spacing w:before="60"/>
              <w:jc w:val="center"/>
              <w:rPr>
                <w:rFonts w:ascii="Arial" w:hAnsi="Arial" w:cs="Arial"/>
                <w:noProof/>
              </w:rPr>
            </w:pPr>
            <w:r w:rsidRPr="00814A87">
              <w:rPr>
                <w:rFonts w:ascii="Arial" w:hAnsi="Arial" w:cs="Arial"/>
                <w:noProof/>
              </w:rPr>
              <w:t>KKKTT/KKTT</w:t>
            </w:r>
          </w:p>
        </w:tc>
      </w:tr>
      <w:tr w:rsidR="004D6DB2" w:rsidRPr="00814A87" w14:paraId="042008A5" w14:textId="77777777" w:rsidTr="004D6DB2">
        <w:tc>
          <w:tcPr>
            <w:tcW w:w="1926"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926" w:type="dxa"/>
          </w:tcPr>
          <w:p w14:paraId="2BECBD03" w14:textId="481854EB" w:rsidR="004D6DB2" w:rsidRPr="00814A87" w:rsidRDefault="004D6DB2" w:rsidP="002D406D">
            <w:pPr>
              <w:spacing w:before="60"/>
              <w:jc w:val="center"/>
              <w:rPr>
                <w:rFonts w:ascii="Arial" w:hAnsi="Arial" w:cs="Arial"/>
                <w:noProof/>
              </w:rPr>
            </w:pPr>
            <w:r w:rsidRPr="00814A87">
              <w:rPr>
                <w:rFonts w:ascii="Arial" w:hAnsi="Arial" w:cs="Arial"/>
                <w:noProof/>
              </w:rPr>
              <w:t>820</w:t>
            </w:r>
          </w:p>
        </w:tc>
        <w:tc>
          <w:tcPr>
            <w:tcW w:w="1926" w:type="dxa"/>
          </w:tcPr>
          <w:p w14:paraId="341BF5B5" w14:textId="1D3C4079" w:rsidR="004D6DB2" w:rsidRPr="00814A87" w:rsidRDefault="004D6DB2" w:rsidP="002D406D">
            <w:pPr>
              <w:spacing w:before="60"/>
              <w:jc w:val="center"/>
              <w:rPr>
                <w:rFonts w:ascii="Arial" w:hAnsi="Arial" w:cs="Arial"/>
                <w:noProof/>
              </w:rPr>
            </w:pPr>
            <w:r w:rsidRPr="00814A87">
              <w:rPr>
                <w:rFonts w:ascii="Arial" w:hAnsi="Arial" w:cs="Arial"/>
                <w:noProof/>
              </w:rPr>
              <w:t>1060</w:t>
            </w:r>
          </w:p>
        </w:tc>
        <w:tc>
          <w:tcPr>
            <w:tcW w:w="1926" w:type="dxa"/>
          </w:tcPr>
          <w:p w14:paraId="2FADDD86" w14:textId="26C3DD39" w:rsidR="004D6DB2" w:rsidRPr="00814A87" w:rsidRDefault="004D6DB2" w:rsidP="002D406D">
            <w:pPr>
              <w:spacing w:before="60"/>
              <w:jc w:val="center"/>
              <w:rPr>
                <w:rFonts w:ascii="Arial" w:hAnsi="Arial" w:cs="Arial"/>
                <w:noProof/>
              </w:rPr>
            </w:pPr>
            <w:r w:rsidRPr="00814A87">
              <w:rPr>
                <w:rFonts w:ascii="Arial" w:hAnsi="Arial" w:cs="Arial"/>
                <w:noProof/>
              </w:rPr>
              <w:t>1400</w:t>
            </w:r>
          </w:p>
        </w:tc>
        <w:tc>
          <w:tcPr>
            <w:tcW w:w="1926" w:type="dxa"/>
          </w:tcPr>
          <w:p w14:paraId="3C181D12" w14:textId="7D653FCD" w:rsidR="004D6DB2" w:rsidRPr="00814A87" w:rsidRDefault="004D6DB2" w:rsidP="002D406D">
            <w:pPr>
              <w:spacing w:before="60"/>
              <w:jc w:val="center"/>
              <w:rPr>
                <w:rFonts w:ascii="Arial" w:hAnsi="Arial" w:cs="Arial"/>
                <w:noProof/>
              </w:rPr>
            </w:pPr>
            <w:r w:rsidRPr="00814A87">
              <w:rPr>
                <w:rFonts w:ascii="Arial" w:hAnsi="Arial" w:cs="Arial"/>
                <w:noProof/>
              </w:rPr>
              <w:t>1</w:t>
            </w:r>
            <w:r w:rsidR="00DF6ED3" w:rsidRPr="002D406D">
              <w:rPr>
                <w:rFonts w:ascii="Arial" w:hAnsi="Arial" w:cs="Arial"/>
                <w:noProof/>
              </w:rPr>
              <w:t>8</w:t>
            </w:r>
            <w:r w:rsidRPr="00814A87">
              <w:rPr>
                <w:rFonts w:ascii="Arial" w:hAnsi="Arial" w:cs="Arial"/>
                <w:noProof/>
              </w:rPr>
              <w:t>00</w:t>
            </w:r>
          </w:p>
        </w:tc>
      </w:tr>
      <w:tr w:rsidR="004D6DB2" w14:paraId="4FF43468" w14:textId="77777777" w:rsidTr="002D406D">
        <w:trPr>
          <w:trHeight w:val="56"/>
        </w:trPr>
        <w:tc>
          <w:tcPr>
            <w:tcW w:w="1926"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926" w:type="dxa"/>
          </w:tcPr>
          <w:p w14:paraId="606AA19F" w14:textId="6C058841"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5C72C05" w14:textId="19C6361A"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4F0C528" w14:textId="3BDE42D8"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53C88DC9" w14:textId="7DA8E81F" w:rsidR="004D6DB2" w:rsidRDefault="004D6DB2" w:rsidP="002D406D">
            <w:pPr>
              <w:spacing w:before="60"/>
              <w:jc w:val="center"/>
              <w:rPr>
                <w:rFonts w:ascii="Arial" w:hAnsi="Arial" w:cs="Arial"/>
                <w:noProof/>
              </w:rPr>
            </w:pPr>
            <w:r w:rsidRPr="00814A87">
              <w:rPr>
                <w:rFonts w:ascii="Arial" w:hAnsi="Arial" w:cs="Arial"/>
                <w:noProof/>
              </w:rPr>
              <w:t>780</w:t>
            </w:r>
          </w:p>
        </w:tc>
      </w:tr>
    </w:tbl>
    <w:p w14:paraId="10D8F691" w14:textId="4116C498" w:rsidR="004D6DB2" w:rsidRDefault="004D6DB2" w:rsidP="00B33382">
      <w:pPr>
        <w:spacing w:before="60"/>
        <w:jc w:val="both"/>
        <w:rPr>
          <w:rFonts w:ascii="Arial" w:hAnsi="Arial" w:cs="Arial"/>
          <w:noProof/>
        </w:rPr>
      </w:pPr>
    </w:p>
    <w:p w14:paraId="2180C660" w14:textId="77777777" w:rsidR="004D6DB2" w:rsidRPr="00EE5E43"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777777"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 xml:space="preserve">signilazici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77777777" w:rsidR="00920537" w:rsidRPr="00EE5E43" w:rsidRDefault="000D1157" w:rsidP="000D1157">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(min </w:t>
      </w:r>
      <w:r w:rsidR="008C2A53" w:rsidRPr="00EE5E43">
        <w:rPr>
          <w:rFonts w:ascii="Arial" w:hAnsi="Arial" w:cs="Arial"/>
          <w:noProof/>
        </w:rPr>
        <w:t>Ø 10</w:t>
      </w:r>
      <w:r w:rsidRPr="00EE5E43">
        <w:rPr>
          <w:rFonts w:ascii="Arial" w:hAnsi="Arial" w:cs="Arial"/>
          <w:noProof/>
        </w:rPr>
        <w:t xml:space="preserve"> mm).</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lastRenderedPageBreak/>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lastRenderedPageBreak/>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2A096967"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 xml:space="preserve">VDS systému typu </w:t>
      </w:r>
      <w:r w:rsidR="00A16087" w:rsidRPr="00EE5E43">
        <w:rPr>
          <w:rFonts w:ascii="Arial" w:hAnsi="Arial" w:cs="Arial"/>
          <w:noProof/>
        </w:rPr>
        <w:t>LRM</w:t>
      </w:r>
      <w:r w:rsidRPr="00EE5E43">
        <w:rPr>
          <w:rFonts w:ascii="Arial" w:hAnsi="Arial" w:cs="Arial"/>
          <w:noProof/>
        </w:rPr>
        <w:t xml:space="preserve"> podle ČSN EN 61243-5</w:t>
      </w:r>
      <w:r w:rsidR="006463DF" w:rsidRPr="00EE5E43">
        <w:rPr>
          <w:rFonts w:ascii="Arial" w:hAnsi="Arial" w:cs="Arial"/>
          <w:noProof/>
        </w:rPr>
        <w:t xml:space="preserve"> se zdířkami pro určení sledu fází</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bezpečnost indikace pro operační napětí </w:t>
      </w:r>
      <w:r w:rsidR="004F11E6" w:rsidRPr="00EE5E43">
        <w:rPr>
          <w:rFonts w:ascii="Arial" w:hAnsi="Arial" w:cs="Arial"/>
          <w:noProof/>
        </w:rPr>
        <w:t xml:space="preserve">22 kV (25 kV). </w:t>
      </w:r>
      <w:r w:rsidR="00B90EC5" w:rsidRPr="00EE5E43">
        <w:rPr>
          <w:rFonts w:ascii="Arial" w:hAnsi="Arial" w:cs="Arial"/>
        </w:rPr>
        <w:t>Měřící sensory systému detekce napětí jsou umístěny na průchodkách tanku s plynem SF</w:t>
      </w:r>
      <w:r w:rsidR="00B90EC5" w:rsidRPr="002D406D">
        <w:rPr>
          <w:rFonts w:ascii="Arial" w:hAnsi="Arial" w:cs="Arial"/>
          <w:vertAlign w:val="subscript"/>
        </w:rPr>
        <w:t>6</w:t>
      </w:r>
      <w:r w:rsidR="00B90EC5" w:rsidRPr="00EE5E43">
        <w:rPr>
          <w:rFonts w:ascii="Arial" w:hAnsi="Arial" w:cs="Arial"/>
        </w:rPr>
        <w:t>.</w:t>
      </w:r>
      <w:r w:rsidR="00E73AC4">
        <w:rPr>
          <w:rFonts w:ascii="Arial" w:hAnsi="Arial" w:cs="Arial"/>
        </w:rPr>
        <w:t xml:space="preserve">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77777777" w:rsidR="00540F1E" w:rsidRPr="00EE5E43" w:rsidRDefault="00540F1E" w:rsidP="00540F1E">
      <w:pPr>
        <w:spacing w:before="60"/>
        <w:jc w:val="both"/>
        <w:rPr>
          <w:rFonts w:ascii="Arial" w:hAnsi="Arial" w:cs="Arial"/>
          <w:noProof/>
        </w:rPr>
      </w:pPr>
      <w:r w:rsidRPr="00EE5E43">
        <w:rPr>
          <w:rFonts w:ascii="Arial" w:hAnsi="Arial" w:cs="Arial"/>
          <w:noProof/>
        </w:rPr>
        <w:t>Pole kabelového vývodu je v provedení s třípolohovým odpínačem (poloha ZAPNUTO – VYPNUTO – UZEM</w:t>
      </w:r>
      <w:r w:rsidR="00CB06BD" w:rsidRPr="00EE5E43">
        <w:rPr>
          <w:rFonts w:ascii="Arial" w:hAnsi="Arial" w:cs="Arial"/>
          <w:noProof/>
        </w:rPr>
        <w:t>NĚ</w:t>
      </w:r>
      <w:r w:rsidRPr="00EE5E43">
        <w:rPr>
          <w:rFonts w:ascii="Arial" w:hAnsi="Arial" w:cs="Arial"/>
          <w:noProof/>
        </w:rPr>
        <w:t xml:space="preserve">NO) a s ručním pružinovým </w:t>
      </w:r>
      <w:r w:rsidR="00AC7653" w:rsidRPr="00EE5E43">
        <w:rPr>
          <w:rFonts w:ascii="Arial" w:hAnsi="Arial" w:cs="Arial"/>
          <w:noProof/>
        </w:rPr>
        <w:t xml:space="preserve">mžikovým </w:t>
      </w:r>
      <w:r w:rsidRPr="00EE5E43">
        <w:rPr>
          <w:rFonts w:ascii="Arial" w:hAnsi="Arial" w:cs="Arial"/>
          <w:noProof/>
        </w:rPr>
        <w:t>pohonem.</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77777777" w:rsidR="005831AD" w:rsidRPr="00EE5E43" w:rsidRDefault="005831AD" w:rsidP="005831AD">
      <w:pPr>
        <w:spacing w:before="60"/>
        <w:jc w:val="center"/>
        <w:rPr>
          <w:rFonts w:ascii="Arial" w:hAnsi="Arial" w:cs="Arial"/>
          <w:noProof/>
        </w:rPr>
      </w:pPr>
      <w:r w:rsidRPr="00EE5E43">
        <w:rPr>
          <w:rFonts w:ascii="Arial" w:hAnsi="Arial" w:cs="Arial"/>
          <w:noProof/>
        </w:rPr>
        <w:lastRenderedPageBreak/>
        <w:drawing>
          <wp:inline distT="0" distB="0" distL="0" distR="0" wp14:anchorId="0C2636C6" wp14:editId="0C2636C7">
            <wp:extent cx="1190445" cy="2749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79BF85B6"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p>
    <w:p w14:paraId="0C263494" w14:textId="77777777" w:rsidR="00B50AEC" w:rsidRPr="00EE5E43" w:rsidRDefault="00D13507" w:rsidP="00B33382">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p>
    <w:p w14:paraId="0C263495" w14:textId="77777777" w:rsidR="00BD5065" w:rsidRPr="00EE5E43" w:rsidRDefault="00BD5065" w:rsidP="00B33382">
      <w:pPr>
        <w:spacing w:before="60"/>
        <w:jc w:val="both"/>
        <w:rPr>
          <w:rFonts w:ascii="Arial" w:hAnsi="Arial" w:cs="Arial"/>
          <w:noProof/>
        </w:rPr>
      </w:pPr>
    </w:p>
    <w:p w14:paraId="0C263496" w14:textId="77777777" w:rsidR="00D13507" w:rsidRPr="00EE5E43" w:rsidRDefault="00B50AEC" w:rsidP="00022FB3">
      <w:pPr>
        <w:pageBreakBefore/>
        <w:numPr>
          <w:ilvl w:val="3"/>
          <w:numId w:val="2"/>
        </w:numPr>
        <w:tabs>
          <w:tab w:val="clear" w:pos="1146"/>
          <w:tab w:val="left" w:pos="6521"/>
        </w:tabs>
        <w:spacing w:before="120" w:after="120"/>
        <w:ind w:left="992" w:hanging="992"/>
        <w:rPr>
          <w:rFonts w:ascii="Arial" w:hAnsi="Arial" w:cs="Arial"/>
          <w:b/>
          <w:noProof/>
        </w:rPr>
      </w:pPr>
      <w:r w:rsidRPr="00EE5E43">
        <w:rPr>
          <w:rFonts w:ascii="Arial" w:hAnsi="Arial" w:cs="Arial"/>
          <w:b/>
          <w:noProof/>
        </w:rPr>
        <w:lastRenderedPageBreak/>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0C26349F" w14:textId="77777777" w:rsidR="00F32EE7" w:rsidRPr="00EE5E43" w:rsidRDefault="00F32EE7"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6540FD3A" w:rsidR="00F32EE7" w:rsidRDefault="00AC7653" w:rsidP="00750F6B">
      <w:pPr>
        <w:spacing w:before="60"/>
        <w:jc w:val="both"/>
        <w:rPr>
          <w:rFonts w:ascii="Arial" w:hAnsi="Arial" w:cs="Arial"/>
          <w:noProof/>
        </w:rPr>
      </w:pPr>
      <w:r w:rsidRPr="00EE5E43">
        <w:rPr>
          <w:rFonts w:ascii="Arial" w:hAnsi="Arial" w:cs="Arial"/>
          <w:noProof/>
        </w:rPr>
        <w:t>Pole vývodu na transformátor je v provedení s třípolohovým odpínačem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odpínače musí být vybaven střadačovým ručním 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odpínače. </w:t>
      </w:r>
      <w:r w:rsidRPr="00EE5E43">
        <w:rPr>
          <w:rFonts w:ascii="Arial" w:hAnsi="Arial" w:cs="Arial"/>
          <w:noProof/>
        </w:rPr>
        <w:t>Interakce mezi odpínačem a pojistkou odpovídá normě ČSN EN 62271-105.</w:t>
      </w:r>
      <w:r w:rsidR="00F32EE7" w:rsidRPr="00EE5E43">
        <w:rPr>
          <w:rFonts w:ascii="Arial" w:hAnsi="Arial" w:cs="Arial"/>
          <w:noProof/>
        </w:rPr>
        <w:t xml:space="preserve"> </w:t>
      </w:r>
    </w:p>
    <w:p w14:paraId="093F7F9A" w14:textId="640EEF24" w:rsidR="006B650D" w:rsidRDefault="006B650D" w:rsidP="00750F6B">
      <w:pPr>
        <w:spacing w:before="60"/>
        <w:jc w:val="both"/>
        <w:rPr>
          <w:rFonts w:ascii="Arial" w:hAnsi="Arial" w:cs="Arial"/>
          <w:noProof/>
        </w:rPr>
      </w:pP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7777777"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7777777" w:rsidR="00565780" w:rsidRPr="00EE5E43" w:rsidRDefault="00565780" w:rsidP="00565780">
      <w:pPr>
        <w:spacing w:before="60"/>
        <w:jc w:val="both"/>
        <w:rPr>
          <w:rFonts w:ascii="Arial" w:hAnsi="Arial" w:cs="Arial"/>
          <w:noProof/>
        </w:rPr>
      </w:pPr>
      <w:r w:rsidRPr="00EE5E43">
        <w:rPr>
          <w:rFonts w:ascii="Arial" w:hAnsi="Arial" w:cs="Arial"/>
          <w:noProof/>
        </w:rPr>
        <w:t>Pouzdra pro pojistky (komory) mohou být umístěny uvnitř nádoby i mimo nádobu.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 xml:space="preserve">a kontatky musí mít </w:t>
      </w:r>
      <w:r w:rsidR="00E3272B" w:rsidRPr="00EE5E43">
        <w:rPr>
          <w:rFonts w:ascii="Arial" w:hAnsi="Arial" w:cs="Arial"/>
          <w:noProof/>
        </w:rPr>
        <w:t>ochrannu</w:t>
      </w:r>
      <w:r w:rsidRPr="00EE5E43">
        <w:rPr>
          <w:rFonts w:ascii="Arial" w:hAnsi="Arial" w:cs="Arial"/>
          <w:noProof/>
        </w:rPr>
        <w:t xml:space="preserve"> proti korozi. </w:t>
      </w:r>
    </w:p>
    <w:p w14:paraId="0C2634A6" w14:textId="77777777" w:rsidR="00565780" w:rsidRPr="00EE5E43"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67329052" w:rsidR="00AC3C40" w:rsidRDefault="00565780" w:rsidP="00565780">
      <w:pPr>
        <w:spacing w:before="60"/>
        <w:jc w:val="both"/>
        <w:rPr>
          <w:rFonts w:ascii="Arial" w:hAnsi="Arial" w:cs="Arial"/>
          <w:noProof/>
        </w:rPr>
      </w:pPr>
      <w:r w:rsidRPr="00EE5E43">
        <w:rPr>
          <w:rFonts w:ascii="Arial" w:hAnsi="Arial" w:cs="Arial"/>
          <w:noProof/>
        </w:rPr>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lastRenderedPageBreak/>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V kabelovém prostoru musí být prostor pro instalaci konektoru o zástavbové hloubce min.170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w:t>
      </w:r>
      <w:r w:rsidRPr="00EE5E43">
        <w:rPr>
          <w:rFonts w:ascii="Arial" w:hAnsi="Arial" w:cs="Arial"/>
          <w:noProof/>
        </w:rPr>
        <w:lastRenderedPageBreak/>
        <w:t xml:space="preserve">tohoto požadavku musí být možná montáž stíněného konektoru včetně omezovače přepětí s celkovou délkou 290 mm. </w:t>
      </w:r>
    </w:p>
    <w:p w14:paraId="0C2634C1" w14:textId="7777777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 prostoru (krytem bez přesahu kabelového prostoru, bez zvětšení půdorysu rozvaděče).</w:t>
      </w:r>
    </w:p>
    <w:p w14:paraId="0C2634C2"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0C2634C3" w14:textId="77777777" w:rsidR="005E310E" w:rsidRPr="00EE5E43" w:rsidRDefault="005E310E" w:rsidP="005E310E">
      <w:pPr>
        <w:spacing w:before="60"/>
        <w:jc w:val="center"/>
        <w:rPr>
          <w:rFonts w:ascii="Arial" w:hAnsi="Arial" w:cs="Arial"/>
          <w:noProof/>
        </w:rPr>
      </w:pPr>
      <w:r w:rsidRPr="00EE5E43">
        <w:rPr>
          <w:rFonts w:ascii="Arial" w:hAnsi="Arial" w:cs="Arial"/>
          <w:noProof/>
        </w:rPr>
        <w:drawing>
          <wp:inline distT="0" distB="0" distL="0" distR="0" wp14:anchorId="0C2636C8" wp14:editId="0C2636C9">
            <wp:extent cx="1039371" cy="2400300"/>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600" cy="2419304"/>
                    </a:xfrm>
                    <a:prstGeom prst="rect">
                      <a:avLst/>
                    </a:prstGeom>
                    <a:noFill/>
                    <a:ln>
                      <a:noFill/>
                    </a:ln>
                  </pic:spPr>
                </pic:pic>
              </a:graphicData>
            </a:graphic>
          </wp:inline>
        </w:drawing>
      </w: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0C2634C6" w14:textId="77777777" w:rsidR="005E310E" w:rsidRPr="00EE5E43" w:rsidRDefault="005E310E" w:rsidP="005E310E">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35 -50 mm. Kabelové držáky jsou upevněné k železnému nosníku (kabelové liště) pomocí šroubů. Nosník (kabelová lišta) musí být nastavitelná jak výškově, tak do hloubky a musí být uzemněná.</w:t>
      </w:r>
    </w:p>
    <w:p w14:paraId="0C2634C7" w14:textId="24AA2179" w:rsidR="005E310E" w:rsidRPr="00EE5E43" w:rsidRDefault="005E310E" w:rsidP="005E310E">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p>
    <w:p w14:paraId="2DD2F114" w14:textId="77777777" w:rsidR="00EE5E43" w:rsidRPr="00EE5E43" w:rsidRDefault="00EE5E43" w:rsidP="005E310E">
      <w:pPr>
        <w:spacing w:before="60"/>
        <w:jc w:val="both"/>
        <w:rPr>
          <w:rFonts w:ascii="Arial" w:hAnsi="Arial" w:cs="Arial"/>
          <w:noProof/>
        </w:rPr>
      </w:pP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t>Připojení pro testování nebo pro lokalizaci místa poruchy na kabelovém vedení musí být možné v uzemněném stavu připojeného kabelového vedení.</w:t>
      </w:r>
    </w:p>
    <w:p w14:paraId="0C2634CE" w14:textId="15E8251F" w:rsidR="005E310E"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5E4C219" w14:textId="77777777" w:rsidR="006B650D" w:rsidRPr="00EE5E43" w:rsidRDefault="006B650D" w:rsidP="005E310E">
      <w:pPr>
        <w:tabs>
          <w:tab w:val="left" w:pos="6521"/>
        </w:tabs>
        <w:spacing w:before="120" w:after="120"/>
        <w:rPr>
          <w:rFonts w:ascii="Arial" w:hAnsi="Arial" w:cs="Arial"/>
          <w:noProof/>
        </w:rPr>
      </w:pPr>
    </w:p>
    <w:p w14:paraId="0C2634CF" w14:textId="77777777"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p>
    <w:p w14:paraId="0C2634D0" w14:textId="5007E64F"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noProof/>
        </w:rPr>
        <w:t xml:space="preserve"> </w:t>
      </w:r>
      <w:r w:rsidR="00B90EC5" w:rsidRPr="00EE5E43">
        <w:rPr>
          <w:rFonts w:ascii="Arial" w:hAnsi="Arial" w:cs="Arial"/>
        </w:rPr>
        <w:t>s hlavním systémem přípojnic izolovanými plynem SF6 v uzavřením tanku, prostor pro montáž MTP a MTN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w:t>
      </w:r>
      <w:r w:rsidR="008211A7" w:rsidRPr="00EE5E43">
        <w:rPr>
          <w:rFonts w:ascii="Arial" w:hAnsi="Arial" w:cs="Arial"/>
          <w:noProof/>
        </w:rPr>
        <w:lastRenderedPageBreak/>
        <w:t>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7777777" w:rsidR="00B90EC5" w:rsidRPr="00EE5E43" w:rsidRDefault="00B90EC5" w:rsidP="00B90EC5">
      <w:pPr>
        <w:spacing w:before="120" w:after="120"/>
      </w:pPr>
      <w:r w:rsidRPr="00EE5E43">
        <w:rPr>
          <w:rFonts w:ascii="Arial" w:hAnsi="Arial" w:cs="Arial"/>
        </w:rPr>
        <w:t>Pole měření bude vybaveno systémem detekce napětí dle 3.3.7.5 a systémem sledování tlaku plynu v hermeticky uzavřené nádobě dle 3.3.7.6.</w:t>
      </w:r>
    </w:p>
    <w:p w14:paraId="08907E98" w14:textId="77777777" w:rsidR="00B90EC5" w:rsidRPr="00EE5E43" w:rsidRDefault="00B90EC5" w:rsidP="008211A7">
      <w:pPr>
        <w:spacing w:before="60"/>
        <w:jc w:val="both"/>
        <w:rPr>
          <w:rFonts w:ascii="Arial" w:hAnsi="Arial" w:cs="Arial"/>
          <w:noProof/>
        </w:rPr>
      </w:pP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 SF</w:t>
      </w:r>
      <w:r w:rsidR="00E00A38" w:rsidRPr="00EE5E43">
        <w:rPr>
          <w:rFonts w:ascii="Arial" w:hAnsi="Arial" w:cs="Arial"/>
          <w:noProof/>
          <w:vertAlign w:val="subscript"/>
        </w:rPr>
        <w:t>6</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C9EA08"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77777777"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50 kV</w:t>
            </w:r>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125 kV</w:t>
            </w:r>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22 kV</w:t>
            </w:r>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7238362C" w14:paraId="68660E9A" w14:textId="77777777" w:rsidTr="7238362C">
        <w:trPr>
          <w:trHeight w:val="300"/>
        </w:trPr>
        <w:tc>
          <w:tcPr>
            <w:tcW w:w="9630" w:type="dxa"/>
            <w:gridSpan w:val="2"/>
          </w:tcPr>
          <w:p w14:paraId="09EDD493" w14:textId="1DA701FD" w:rsidR="5FBA7E45" w:rsidRDefault="5FBA7E45" w:rsidP="7238362C">
            <w:pPr>
              <w:tabs>
                <w:tab w:val="left" w:pos="4678"/>
              </w:tabs>
              <w:spacing w:before="60" w:line="276" w:lineRule="auto"/>
              <w:jc w:val="both"/>
              <w:rPr>
                <w:rFonts w:ascii="Arial" w:hAnsi="Arial" w:cs="Arial"/>
                <w:noProof/>
              </w:rPr>
            </w:pPr>
            <w:r w:rsidRPr="002179BC">
              <w:rPr>
                <w:rFonts w:ascii="Arial" w:hAnsi="Arial" w:cs="Arial"/>
                <w:noProof/>
                <w:color w:val="FF0000"/>
              </w:rPr>
              <w:t>Za</w:t>
            </w:r>
            <w:r w:rsidR="002155B2" w:rsidRPr="002179BC">
              <w:rPr>
                <w:rFonts w:ascii="Arial" w:hAnsi="Arial" w:cs="Arial"/>
                <w:noProof/>
                <w:color w:val="FF0000"/>
              </w:rPr>
              <w:t>ř</w:t>
            </w:r>
            <w:r w:rsidRPr="002179BC">
              <w:rPr>
                <w:rFonts w:ascii="Arial" w:hAnsi="Arial" w:cs="Arial"/>
                <w:noProof/>
                <w:color w:val="FF0000"/>
              </w:rPr>
              <w:t>ízení  pro omezení ferorezonance</w:t>
            </w:r>
            <w:r w:rsidR="002179BC" w:rsidRPr="002179BC">
              <w:rPr>
                <w:rFonts w:ascii="Arial" w:hAnsi="Arial" w:cs="Arial"/>
                <w:noProof/>
                <w:color w:val="FF0000"/>
              </w:rPr>
              <w:t xml:space="preserve"> nutné, v případě, pokud by byl MTN náchylný k ferorezonančním jevům.</w:t>
            </w:r>
          </w:p>
        </w:tc>
      </w:tr>
    </w:tbl>
    <w:p w14:paraId="0C263535" w14:textId="0837EC06" w:rsidR="0037318E" w:rsidRDefault="0037318E" w:rsidP="7238362C">
      <w:pPr>
        <w:spacing w:before="60"/>
        <w:jc w:val="both"/>
        <w:rPr>
          <w:rFonts w:ascii="Arial" w:hAnsi="Arial" w:cs="Arial"/>
          <w:noProof/>
        </w:rPr>
      </w:pPr>
    </w:p>
    <w:p w14:paraId="2BF34730" w14:textId="2EFECB90" w:rsidR="00EB2BEA" w:rsidRDefault="00EB2BEA" w:rsidP="00A7746C">
      <w:pPr>
        <w:spacing w:before="60"/>
        <w:jc w:val="both"/>
        <w:rPr>
          <w:rFonts w:ascii="Arial" w:hAnsi="Arial" w:cs="Arial"/>
          <w:noProof/>
        </w:rPr>
      </w:pPr>
    </w:p>
    <w:p w14:paraId="7FD425F4" w14:textId="77777777" w:rsidR="00EB2BEA" w:rsidRPr="00EE5E43" w:rsidRDefault="00EB2BEA" w:rsidP="00A7746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C263554" w14:textId="77777777" w:rsidR="0037318E" w:rsidRPr="00EE5E43" w:rsidRDefault="0037318E" w:rsidP="009041E8">
      <w:pPr>
        <w:spacing w:before="60"/>
        <w:jc w:val="both"/>
        <w:rPr>
          <w:rFonts w:ascii="Arial" w:hAnsi="Arial" w:cs="Arial"/>
          <w:noProof/>
        </w:rPr>
      </w:pP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77777777" w:rsidR="00F47E6D" w:rsidRPr="00EE5E43" w:rsidRDefault="003B1FE6" w:rsidP="00F47E6D">
      <w:pPr>
        <w:spacing w:before="60"/>
        <w:jc w:val="both"/>
        <w:rPr>
          <w:rFonts w:ascii="Arial" w:hAnsi="Arial" w:cs="Arial"/>
          <w:noProof/>
        </w:rPr>
      </w:pPr>
      <w:r w:rsidRPr="00EE5E43">
        <w:rPr>
          <w:rFonts w:ascii="Arial" w:hAnsi="Arial" w:cs="Arial"/>
          <w:noProof/>
        </w:rPr>
        <w:lastRenderedPageBreak/>
        <w:t xml:space="preserve">Každý plynový prostor musí být vybaven </w:t>
      </w:r>
      <w:r w:rsidR="00F47E6D" w:rsidRPr="00EE5E43">
        <w:rPr>
          <w:rFonts w:ascii="Arial" w:hAnsi="Arial" w:cs="Arial"/>
          <w:noProof/>
        </w:rPr>
        <w:t>signalizací úniku plynu SF</w:t>
      </w:r>
      <w:r w:rsidR="00F47E6D" w:rsidRPr="00EE5E43">
        <w:rPr>
          <w:rFonts w:ascii="Arial" w:hAnsi="Arial" w:cs="Arial"/>
          <w:noProof/>
          <w:vertAlign w:val="subscript"/>
        </w:rPr>
        <w:t>6</w:t>
      </w:r>
      <w:r w:rsidR="00F47E6D" w:rsidRPr="00EE5E43">
        <w:rPr>
          <w:rFonts w:ascii="Arial" w:hAnsi="Arial" w:cs="Arial"/>
          <w:noProof/>
        </w:rPr>
        <w:t xml:space="preserve"> (tlakový spínač) a vyvedením jednotlivých kontaktů na svorkovnici.</w:t>
      </w:r>
    </w:p>
    <w:p w14:paraId="0C26356E" w14:textId="35383A1B"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389B11E4" w14:textId="300A2156" w:rsidR="006A1139" w:rsidRDefault="006A1139"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77777777" w:rsidR="003B1FE6" w:rsidRPr="00EE5E43" w:rsidRDefault="003B1FE6" w:rsidP="003B1FE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77777777" w:rsidR="003666F6" w:rsidRPr="00EE5E43" w:rsidRDefault="003666F6" w:rsidP="003666F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77777777" w:rsidR="00637D5F" w:rsidRPr="00EE5E43" w:rsidRDefault="00637D5F" w:rsidP="00637D5F">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0C263583" w14:textId="77777777"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77777777"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0" w:name="_Hlk535316000"/>
      <w:r w:rsidRPr="00EE5E43">
        <w:rPr>
          <w:rFonts w:ascii="Arial" w:hAnsi="Arial" w:cs="Arial"/>
          <w:snapToGrid w:val="0"/>
          <w:color w:val="000000"/>
        </w:rPr>
        <w:t xml:space="preserve">Kostra a </w:t>
      </w:r>
      <w:bookmarkEnd w:id="0"/>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lastRenderedPageBreak/>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8" w14:textId="77777777" w:rsidR="000A7FD6" w:rsidRPr="00EE5E43" w:rsidRDefault="000A7FD6" w:rsidP="00D324CA">
      <w:pPr>
        <w:spacing w:before="80"/>
        <w:jc w:val="both"/>
        <w:rPr>
          <w:rFonts w:ascii="Arial" w:hAnsi="Arial" w:cs="Arial"/>
          <w:snapToGrid w:val="0"/>
          <w:color w:val="000000"/>
        </w:rPr>
      </w:pP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r w:rsidR="00B40D8D" w:rsidRPr="002D406D">
        <w:rPr>
          <w:rFonts w:ascii="Arial" w:hAnsi="Arial" w:cs="Arial"/>
          <w:snapToGrid w:val="0"/>
          <w:color w:val="000000"/>
        </w:rPr>
        <w:t>Remote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(PG16</w:t>
      </w:r>
      <w:r w:rsidR="00B01682" w:rsidRPr="005D1D13">
        <w:rPr>
          <w:rFonts w:ascii="Arial" w:hAnsi="Arial" w:cs="Arial"/>
          <w:snapToGrid w:val="0"/>
          <w:color w:val="000000"/>
        </w:rPr>
        <w:t>/M25</w:t>
      </w:r>
      <w:r w:rsidR="005202AB">
        <w:rPr>
          <w:rFonts w:ascii="Arial" w:hAnsi="Arial" w:cs="Arial"/>
          <w:snapToGrid w:val="0"/>
          <w:color w:val="000000"/>
        </w:rPr>
        <w:t>, krytí min. IP68</w:t>
      </w:r>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r w:rsidR="005202AB" w:rsidRPr="005D1D13">
        <w:rPr>
          <w:rFonts w:ascii="Arial" w:hAnsi="Arial" w:cs="Arial"/>
          <w:snapToGrid w:val="0"/>
          <w:color w:val="000000"/>
        </w:rPr>
        <w:t>PG16</w:t>
      </w:r>
      <w:r w:rsidR="00B01682" w:rsidRPr="005D1D13">
        <w:rPr>
          <w:rFonts w:ascii="Arial" w:hAnsi="Arial" w:cs="Arial"/>
          <w:snapToGrid w:val="0"/>
          <w:color w:val="000000"/>
        </w:rPr>
        <w:t>/M25</w:t>
      </w:r>
      <w:r w:rsidR="005202AB" w:rsidRPr="005D1D13">
        <w:rPr>
          <w:rFonts w:ascii="Arial" w:hAnsi="Arial" w:cs="Arial"/>
          <w:snapToGrid w:val="0"/>
          <w:color w:val="000000"/>
        </w:rPr>
        <w:t>,</w:t>
      </w:r>
      <w:r w:rsidR="005202AB">
        <w:rPr>
          <w:rFonts w:ascii="Arial" w:hAnsi="Arial" w:cs="Arial"/>
          <w:snapToGrid w:val="0"/>
          <w:color w:val="000000"/>
        </w:rPr>
        <w:t xml:space="preserve"> krytí min. IP68</w:t>
      </w:r>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GPRS/LTE.</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1" w:name="_Toc440976"/>
      <w:r w:rsidRPr="00EE5E43">
        <w:rPr>
          <w:rFonts w:ascii="Arial" w:hAnsi="Arial" w:cs="Arial"/>
          <w:noProof/>
          <w:sz w:val="20"/>
          <w:u w:val="single"/>
        </w:rPr>
        <w:t>Zemnění nadstavby před nebezpečným dotykovým napětím</w:t>
      </w:r>
      <w:bookmarkEnd w:id="1"/>
    </w:p>
    <w:p w14:paraId="0C2635A6" w14:textId="77777777"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soustavu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0C2635A8" w14:textId="77777777" w:rsidR="00D56944" w:rsidRPr="00EE5E43" w:rsidRDefault="00D56944"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E81978">
      <w:pPr>
        <w:spacing w:before="60"/>
        <w:jc w:val="both"/>
        <w:rPr>
          <w:rFonts w:ascii="Arial" w:hAnsi="Arial" w:cs="Arial"/>
          <w:b/>
          <w:noProof/>
        </w:rPr>
      </w:pPr>
      <w:r w:rsidRPr="00EE5E43">
        <w:rPr>
          <w:rFonts w:ascii="Arial" w:hAnsi="Arial" w:cs="Arial"/>
          <w:b/>
          <w:noProof/>
        </w:rPr>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lastRenderedPageBreak/>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r w:rsidRPr="00EE5E43">
        <w:rPr>
          <w:rFonts w:ascii="Arial" w:hAnsi="Arial" w:cs="Arial"/>
          <w:b/>
        </w:rPr>
        <w:t>Vydrátování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vydrátování je i osazení a montáž všech </w:t>
      </w:r>
      <w:r w:rsidR="00A54BE7">
        <w:rPr>
          <w:rFonts w:ascii="Arial" w:hAnsi="Arial" w:cs="Arial"/>
        </w:rPr>
        <w:t xml:space="preserve">RTU a </w:t>
      </w:r>
      <w:r w:rsidRPr="00EE5E43">
        <w:rPr>
          <w:rFonts w:ascii="Arial" w:hAnsi="Arial" w:cs="Arial"/>
        </w:rPr>
        <w:t>IED (dodávka zadavatele).</w:t>
      </w:r>
      <w:r w:rsidR="00DC3E8A" w:rsidRPr="00EE5E43">
        <w:rPr>
          <w:rFonts w:ascii="Arial" w:hAnsi="Arial" w:cs="Arial"/>
        </w:rPr>
        <w:t xml:space="preserve"> V rámci dodávky </w:t>
      </w:r>
      <w:r w:rsidR="00A54BE7">
        <w:rPr>
          <w:rFonts w:ascii="Arial" w:hAnsi="Arial" w:cs="Arial"/>
        </w:rPr>
        <w:t xml:space="preserve">RTU a </w:t>
      </w:r>
      <w:r w:rsidR="00DC3E8A" w:rsidRPr="00EE5E43">
        <w:rPr>
          <w:rFonts w:ascii="Arial" w:hAnsi="Arial" w:cs="Arial"/>
        </w:rPr>
        <w:t>IED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2" w:name="_Toc532465418"/>
      <w:bookmarkStart w:id="3" w:name="_Toc535843977"/>
      <w:r w:rsidRPr="00EE5E43">
        <w:rPr>
          <w:rFonts w:ascii="Arial" w:hAnsi="Arial" w:cs="Arial"/>
          <w:noProof/>
          <w:u w:val="single"/>
        </w:rPr>
        <w:t>Osazení vnitřního prostoru nadstavby</w:t>
      </w:r>
      <w:bookmarkEnd w:id="2"/>
      <w:bookmarkEnd w:id="3"/>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V prostoru nad prvním polem se mohou nacházet i společné obvody (např. stav plynu SF</w:t>
      </w:r>
      <w:r w:rsidRPr="00EE5E43">
        <w:rPr>
          <w:rFonts w:ascii="Arial" w:hAnsi="Arial" w:cs="Arial"/>
          <w:snapToGrid w:val="0"/>
          <w:color w:val="000000"/>
          <w:vertAlign w:val="subscript"/>
        </w:rPr>
        <w:t>6</w:t>
      </w:r>
      <w:r w:rsidRPr="00EE5E43">
        <w:rPr>
          <w:rFonts w:ascii="Arial" w:hAnsi="Arial" w:cs="Arial"/>
          <w:snapToGrid w:val="0"/>
          <w:color w:val="000000"/>
        </w:rPr>
        <w:t xml:space="preserve"> společné komory VN rozváděče, společný jistič měření napětí z PTN,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vydrátování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(CMA)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2,5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C2635C6" w14:textId="77777777" w:rsidR="00670386" w:rsidRPr="00EE5E43" w:rsidRDefault="00670386" w:rsidP="007A209D">
      <w:pPr>
        <w:spacing w:before="60"/>
        <w:jc w:val="both"/>
        <w:rPr>
          <w:rFonts w:ascii="Arial" w:hAnsi="Arial" w:cs="Arial"/>
          <w:noProof/>
        </w:rPr>
      </w:pPr>
    </w:p>
    <w:p w14:paraId="0C2635C7" w14:textId="77777777" w:rsidR="003C25D7" w:rsidRPr="00EE5E43" w:rsidRDefault="003C25D7"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70386">
      <w:pPr>
        <w:jc w:val="both"/>
        <w:rPr>
          <w:rFonts w:ascii="Arial" w:hAnsi="Arial" w:cs="Arial"/>
          <w:snapToGrid w:val="0"/>
        </w:rPr>
      </w:pPr>
      <w:r w:rsidRPr="00EE5E43">
        <w:rPr>
          <w:rFonts w:ascii="Arial" w:hAnsi="Arial" w:cs="Arial"/>
          <w:snapToGrid w:val="0"/>
        </w:rPr>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lastRenderedPageBreak/>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FA1.11</w:t>
      </w:r>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1-XQM:27</w:t>
      </w:r>
      <w:r w:rsidRPr="00EE5E43">
        <w:rPr>
          <w:rFonts w:ascii="Arial" w:hAnsi="Arial" w:cs="Arial"/>
          <w:snapToGrid w:val="0"/>
        </w:rPr>
        <w:t xml:space="preserve"> Vodič vychází ze svorky 1 a jde na svorkovnici XQM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XQM:27-1</w:t>
      </w:r>
      <w:r w:rsidRPr="00EE5E43">
        <w:rPr>
          <w:rFonts w:ascii="Arial" w:hAnsi="Arial" w:cs="Arial"/>
          <w:snapToGrid w:val="0"/>
        </w:rPr>
        <w:t>. Vodič končí ve svorkovnici XQM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r w:rsidRPr="00EE5E43">
        <w:rPr>
          <w:rFonts w:ascii="Arial" w:hAnsi="Arial" w:cs="Arial"/>
          <w:snapToGrid w:val="0"/>
          <w:highlight w:val="yellow"/>
        </w:rPr>
        <w:t>2-XN11:1/ASJ02</w:t>
      </w:r>
      <w:r w:rsidRPr="00EE5E43">
        <w:rPr>
          <w:rFonts w:ascii="Arial" w:hAnsi="Arial" w:cs="Arial"/>
          <w:snapToGrid w:val="0"/>
        </w:rPr>
        <w:t xml:space="preserve"> vodič jdoucí ze svorky 2 jde do části nadstavby ASJ02 na svorkovnici XN11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odpínačovými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Obr. Rozvaděč VN s kombinací odpínačových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Barva svorek (kromě N a PE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a napájecích smyček mezi jednotlivými poli nadstavby musí umožnit připojení vodiče v rozsahu průřezů 1 ÷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Ochranný vodič PE: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4" w:name="_Toc532465413"/>
      <w:bookmarkStart w:id="5" w:name="_Toc440973"/>
      <w:r w:rsidRPr="00EE5E43">
        <w:rPr>
          <w:rFonts w:ascii="Arial" w:hAnsi="Arial" w:cs="Arial"/>
          <w:snapToGrid w:val="0"/>
          <w:color w:val="000000"/>
          <w:sz w:val="20"/>
          <w:u w:val="single"/>
        </w:rPr>
        <w:t>Svorky pro měření a zapojení proudů a napětí</w:t>
      </w:r>
      <w:bookmarkEnd w:id="4"/>
      <w:bookmarkEnd w:id="5"/>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Při měření U a I pomocí PTP a PTN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Svorky musí umožnit připojení zkušebních dutinek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U pole vývodu s vypínačem musí být proudy vyvedeny na svorky a pak do testovací zásuvky a poté připojeny do IED. Svorky na vyvedení proudů musí být průběžné, bez možnosti rozpojení, vyzkratování ani možnosti připojení zkušebních dutinek. Proudová přetížitelnost svorky musí být minimálně 55 A, musí být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IED. Při vysunutí testovací zástrčky se musí naopak nejprve připojit analogové vstupy IED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vypínačem přivedeno na napěťové svorky. Svorky na vyvedení napětí jsou průběžné, bez možnosti rozpojení.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IED. </w:t>
      </w:r>
      <w:r w:rsidRPr="00EE5E43">
        <w:rPr>
          <w:rFonts w:ascii="Arial" w:hAnsi="Arial" w:cs="Arial"/>
          <w:snapToGrid w:val="0"/>
          <w:color w:val="000000"/>
        </w:rPr>
        <w:t>Funkci rozpojení napěťových měničů od vstupů IED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IED.</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IED.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V poli měření bude napětí měřeno z napěťového měniče.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Sekundární výstup PTN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Uzel z klasických PTP a PTN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Svorky pro napájení z PTN</w:t>
      </w:r>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PTN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PTN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IED</w:t>
      </w:r>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IED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ovládání musí být signalizováno žlutou kontrolkou umístěné nad tímto paketovým přepínačem. Druhý paketový přepínač bude pro vypnutí napětí pro ovládání vypínače a napětí pohonu střadače. Signalizační napětí pro IED se tímto paket</w:t>
      </w:r>
      <w:r w:rsidR="00DA34EB" w:rsidRPr="00EE5E43">
        <w:rPr>
          <w:rFonts w:ascii="Arial" w:hAnsi="Arial" w:cs="Arial"/>
          <w:snapToGrid w:val="0"/>
          <w:color w:val="000000"/>
        </w:rPr>
        <w:t>ovým přepínačem vypínat nebude.</w:t>
      </w:r>
    </w:p>
    <w:p w14:paraId="0C26360F" w14:textId="77777777" w:rsidR="00F444FC" w:rsidRPr="00EE5E43" w:rsidRDefault="00F444FC"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w:lastRenderedPageBreak/>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2A07D06B">
              <v:line id="Přímá spojnice 12"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5.9pt,257.45pt" to="166.9pt,262.7pt" w14:anchorId="6019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17F0C050">
              <v:line id="Přímá spojnice 11"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4.4pt,223.7pt" to="168.4pt,225.2pt" w14:anchorId="5C405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F5C5481">
              <v:line id="Přímá spojnice 10"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77.65pt,185.45pt" to="166.9pt,202.7pt" w14:anchorId="242600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6" w:name="_Ref532463231"/>
      <w:bookmarkStart w:id="7" w:name="_Toc532465416"/>
      <w:bookmarkStart w:id="8" w:name="_Toc535843979"/>
      <w:r w:rsidRPr="00EE5E43">
        <w:rPr>
          <w:rFonts w:ascii="Arial" w:hAnsi="Arial" w:cs="Arial"/>
          <w:b/>
        </w:rPr>
        <w:t>Systém detekce napětí – dálkov</w:t>
      </w:r>
      <w:bookmarkEnd w:id="6"/>
      <w:bookmarkEnd w:id="7"/>
      <w:bookmarkEnd w:id="8"/>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r w:rsidRPr="00EE5E43">
        <w:rPr>
          <w:rFonts w:ascii="Arial" w:hAnsi="Arial" w:cs="Arial"/>
          <w:snapToGrid w:val="0"/>
          <w:color w:val="000000"/>
        </w:rPr>
        <w:t xml:space="preserve">IED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3065A41A" w:rsidR="00A940AC" w:rsidRPr="00A31DC2" w:rsidRDefault="00A940AC" w:rsidP="00E258EA">
      <w:pPr>
        <w:jc w:val="both"/>
        <w:rPr>
          <w:rStyle w:val="nadpisclanku1"/>
          <w:b w:val="0"/>
        </w:rPr>
      </w:pPr>
      <w:r w:rsidRPr="00A31DC2">
        <w:rPr>
          <w:rStyle w:val="nadpisclanku1"/>
          <w:b w:val="0"/>
        </w:rPr>
        <w:t>V průběhu trvání smlouvy je kupující oprávněn vyžádat si opětovně platné typové testy (protokoly) k nabízeným rozvaděčům s izolací plynem SF</w:t>
      </w:r>
      <w:r w:rsidRPr="00A31DC2">
        <w:rPr>
          <w:rStyle w:val="nadpisclanku1"/>
          <w:b w:val="0"/>
          <w:vertAlign w:val="subscript"/>
        </w:rPr>
        <w:t>6</w:t>
      </w:r>
      <w:r w:rsidRPr="00A31DC2">
        <w:rPr>
          <w:rStyle w:val="nadpisclanku1"/>
          <w:b w:val="0"/>
        </w:rPr>
        <w:t xml:space="preserve">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77777777" w:rsidR="00106A29" w:rsidRPr="00EE5E43" w:rsidRDefault="000F17D6" w:rsidP="007C7F76">
      <w:pPr>
        <w:pStyle w:val="Odstavecseseznamem"/>
        <w:numPr>
          <w:ilvl w:val="1"/>
          <w:numId w:val="4"/>
        </w:numPr>
        <w:rPr>
          <w:rStyle w:val="nadpisclanku1"/>
          <w:b w:val="0"/>
        </w:rPr>
      </w:pPr>
      <w:r w:rsidRPr="00EE5E43">
        <w:rPr>
          <w:rStyle w:val="nadpisclanku1"/>
          <w:b w:val="0"/>
        </w:rPr>
        <w:t xml:space="preserve">předběžný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1,1 x Ur max. 2 pC</w:t>
      </w:r>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0DD3C9E5" w:rsidR="00106A29" w:rsidRPr="00EE5E43" w:rsidRDefault="00106A29" w:rsidP="007C7F76">
      <w:pPr>
        <w:pStyle w:val="Odstavecseseznamem"/>
        <w:numPr>
          <w:ilvl w:val="1"/>
          <w:numId w:val="4"/>
        </w:numPr>
        <w:rPr>
          <w:rStyle w:val="nadpisclanku1"/>
          <w:b w:val="0"/>
        </w:rPr>
      </w:pPr>
      <w:r w:rsidRPr="00EE5E43">
        <w:rPr>
          <w:rStyle w:val="nadpisclanku1"/>
          <w:b w:val="0"/>
        </w:rPr>
        <w:t xml:space="preserve">předběžný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1,1 x Ur max. 20 pC</w:t>
      </w:r>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6F4EABDD"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správnosti vydrátování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1B026FC4" w14:textId="6B2865FB" w:rsidR="00797682" w:rsidRPr="002919A1" w:rsidRDefault="00D56944" w:rsidP="002919A1">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Test dielektrické pevnosti: střídavým napětím </w:t>
      </w:r>
      <w:r w:rsidR="00C16B0D" w:rsidRPr="00FF34B1">
        <w:rPr>
          <w:rFonts w:ascii="Arial" w:hAnsi="Arial" w:cs="Arial"/>
          <w:snapToGrid w:val="0"/>
          <w:color w:val="FF0000"/>
        </w:rPr>
        <w:t>1,89</w:t>
      </w:r>
      <w:r w:rsidR="00C16B0D">
        <w:rPr>
          <w:rFonts w:ascii="Arial" w:hAnsi="Arial" w:cs="Arial"/>
          <w:snapToGrid w:val="0"/>
          <w:color w:val="FF0000"/>
        </w:rPr>
        <w:t xml:space="preserve"> </w:t>
      </w:r>
      <w:r w:rsidR="00C16B0D" w:rsidRPr="00EE5E43">
        <w:rPr>
          <w:rFonts w:ascii="Arial" w:hAnsi="Arial" w:cs="Arial"/>
          <w:snapToGrid w:val="0"/>
          <w:color w:val="000000"/>
        </w:rPr>
        <w:t>kV</w:t>
      </w:r>
      <w:r w:rsidRPr="00EE5E43">
        <w:rPr>
          <w:rFonts w:ascii="Arial" w:hAnsi="Arial" w:cs="Arial"/>
          <w:snapToGrid w:val="0"/>
          <w:color w:val="000000"/>
        </w:rPr>
        <w:t xml:space="preserve"> po dobu 1 </w:t>
      </w:r>
      <w:r w:rsidR="00BA72A3" w:rsidRPr="00BA72A3">
        <w:rPr>
          <w:rFonts w:ascii="Arial" w:hAnsi="Arial" w:cs="Arial"/>
          <w:snapToGrid w:val="0"/>
          <w:color w:val="FF0000"/>
        </w:rPr>
        <w:t>sekundy</w:t>
      </w:r>
      <w:r w:rsidRPr="00EE5E43">
        <w:rPr>
          <w:rFonts w:ascii="Arial" w:hAnsi="Arial" w:cs="Arial"/>
          <w:snapToGrid w:val="0"/>
          <w:color w:val="000000"/>
        </w:rPr>
        <w:t xml:space="preserve">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r w:rsidRPr="00EE5E43">
        <w:rPr>
          <w:rStyle w:val="nadpisclanku1"/>
          <w:b w:val="0"/>
        </w:rPr>
        <w:t>IED.</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9"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smart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10" w:name="_Hlk19110227"/>
      <w:bookmarkEnd w:id="9"/>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vydrátováním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(Factory Acceptance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r>
        <w:rPr>
          <w:rFonts w:ascii="Arial" w:hAnsi="Arial" w:cs="Arial"/>
          <w:snapToGrid w:val="0"/>
        </w:rPr>
        <w:t>EG.D</w:t>
      </w:r>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Výbava bude minimálně obsahovat nadstavbovou skříň, vydrátování</w:t>
      </w:r>
      <w:r w:rsidR="00A1458A" w:rsidRPr="00EE5E43">
        <w:rPr>
          <w:rFonts w:ascii="Arial" w:hAnsi="Arial" w:cs="Arial"/>
          <w:snapToGrid w:val="0"/>
        </w:rPr>
        <w:t xml:space="preserve"> (včetně instalace </w:t>
      </w:r>
      <w:r w:rsidR="00317A70">
        <w:rPr>
          <w:rFonts w:ascii="Arial" w:hAnsi="Arial" w:cs="Arial"/>
          <w:snapToGrid w:val="0"/>
        </w:rPr>
        <w:t>RTU/</w:t>
      </w:r>
      <w:r w:rsidR="00A1458A" w:rsidRPr="00EE5E43">
        <w:rPr>
          <w:rFonts w:ascii="Arial" w:hAnsi="Arial" w:cs="Arial"/>
          <w:snapToGrid w:val="0"/>
        </w:rPr>
        <w:t>IED)</w:t>
      </w:r>
      <w:r w:rsidRPr="00EE5E43">
        <w:rPr>
          <w:rFonts w:ascii="Arial" w:hAnsi="Arial" w:cs="Arial"/>
          <w:snapToGrid w:val="0"/>
        </w:rPr>
        <w:t>, MTP, MTN</w:t>
      </w:r>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kontakty,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vydrátování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Simulovány mohou být pouze ochranné nebo indikační funkce </w:t>
      </w:r>
      <w:r w:rsidR="00317A70">
        <w:rPr>
          <w:rFonts w:ascii="Arial" w:hAnsi="Arial" w:cs="Arial"/>
          <w:snapToGrid w:val="0"/>
        </w:rPr>
        <w:t>RTU/</w:t>
      </w:r>
      <w:r w:rsidRPr="00EE5E43">
        <w:rPr>
          <w:rFonts w:ascii="Arial" w:hAnsi="Arial" w:cs="Arial"/>
          <w:snapToGrid w:val="0"/>
        </w:rPr>
        <w:t>IED pomocí vhodného testeru (Omicron)</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Správné vydrátování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r w:rsidR="003E5727">
        <w:rPr>
          <w:rFonts w:ascii="Arial" w:hAnsi="Arial" w:cs="Arial"/>
          <w:snapToGrid w:val="0"/>
        </w:rPr>
        <w:t>EG.D</w:t>
      </w:r>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r w:rsidR="003E5727">
        <w:rPr>
          <w:rFonts w:ascii="Arial" w:hAnsi="Arial" w:cs="Arial"/>
          <w:snapToGrid w:val="0"/>
        </w:rPr>
        <w:t>EG.D</w:t>
      </w:r>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vydrátování (včetně instalace </w:t>
      </w:r>
      <w:r w:rsidR="00317A70">
        <w:rPr>
          <w:rFonts w:ascii="Arial" w:hAnsi="Arial" w:cs="Arial"/>
          <w:snapToGrid w:val="0"/>
        </w:rPr>
        <w:t>RTU/</w:t>
      </w:r>
      <w:r w:rsidRPr="00EE5E43">
        <w:rPr>
          <w:rFonts w:ascii="Arial" w:hAnsi="Arial" w:cs="Arial"/>
          <w:snapToGrid w:val="0"/>
        </w:rPr>
        <w:t>IED), MTP, MTN,</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kontakty, atd.). V sestavě s polem kabelového vývodu s vypínačem bude jedno pole kabelového vývodu s vypínačem osazeno MTN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r w:rsidRPr="00EE5E43">
        <w:rPr>
          <w:rStyle w:val="nadpisclanku1"/>
          <w:b w:val="0"/>
          <w:i/>
        </w:rPr>
        <w:t>IED. Pro vypracování schémat zapojení poskytne zadavatel podklady k</w:t>
      </w:r>
      <w:r w:rsidR="00317A70">
        <w:rPr>
          <w:rStyle w:val="nadpisclanku1"/>
          <w:b w:val="0"/>
          <w:i/>
        </w:rPr>
        <w:t> RTU/</w:t>
      </w:r>
      <w:r w:rsidRPr="00EE5E43">
        <w:rPr>
          <w:rStyle w:val="nadpisclanku1"/>
          <w:b w:val="0"/>
          <w:i/>
        </w:rPr>
        <w:t>IED,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r w:rsidRPr="00EE5E43">
        <w:rPr>
          <w:rFonts w:ascii="Arial" w:hAnsi="Arial" w:cs="Arial"/>
          <w:i/>
          <w:snapToGrid w:val="0"/>
        </w:rPr>
        <w:t xml:space="preserve">IED a odpovědný pracovník </w:t>
      </w:r>
      <w:r w:rsidR="003E5727">
        <w:rPr>
          <w:rFonts w:ascii="Arial" w:hAnsi="Arial" w:cs="Arial"/>
          <w:i/>
          <w:snapToGrid w:val="0"/>
        </w:rPr>
        <w:t>EG.D</w:t>
      </w:r>
      <w:r w:rsidRPr="00EE5E43">
        <w:rPr>
          <w:rFonts w:ascii="Arial" w:hAnsi="Arial" w:cs="Arial"/>
          <w:i/>
          <w:snapToGrid w:val="0"/>
        </w:rPr>
        <w:t>, který zajistí připojení do řídícího systému na odděleném počítači, na kterém bude přenos signálů kontrolován.</w:t>
      </w:r>
    </w:p>
    <w:bookmarkEnd w:id="10"/>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0C263676" w14:textId="00DA50D2" w:rsidR="008161ED" w:rsidRPr="00EE5E43" w:rsidRDefault="00E32CCE" w:rsidP="008161ED">
      <w:pPr>
        <w:rPr>
          <w:rStyle w:val="nadpisclanku1"/>
          <w:b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Dokumenty v jiném jazyce budou předloženy včetně překladu do ČJ,</w:t>
      </w:r>
    </w:p>
    <w:p w14:paraId="0C263677" w14:textId="77777777" w:rsidR="002861D1" w:rsidRPr="00EE5E43" w:rsidRDefault="002861D1" w:rsidP="008161ED">
      <w:pPr>
        <w:rPr>
          <w:rStyle w:val="nadpisclanku1"/>
          <w:b w:val="0"/>
        </w:rPr>
      </w:pPr>
      <w:bookmarkStart w:id="11" w:name="_Hlk19103127"/>
      <w:r w:rsidRPr="00EE5E43">
        <w:rPr>
          <w:rFonts w:ascii="Arial" w:hAnsi="Arial" w:cs="Arial"/>
          <w:noProof/>
        </w:rPr>
        <w:t>Předložená dokumentace musí odpovídat ČSN EN 61082-1</w:t>
      </w:r>
      <w:bookmarkEnd w:id="11"/>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palety,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0C26369A" w14:textId="6023EFC4"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 </w:t>
      </w:r>
    </w:p>
    <w:p w14:paraId="0C26369B" w14:textId="77777777" w:rsidR="00E00A38" w:rsidRPr="00EE5E43"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 xml:space="preserve">/páky,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správnosti vydrátování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1CB73332" w14:textId="77777777" w:rsidR="00306588" w:rsidRPr="00A31DC2" w:rsidRDefault="00306588" w:rsidP="00306588">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r w:rsidRPr="00FF34B1">
        <w:rPr>
          <w:rFonts w:ascii="Arial" w:hAnsi="Arial" w:cs="Arial"/>
          <w:snapToGrid w:val="0"/>
          <w:color w:val="FF0000"/>
        </w:rPr>
        <w:t xml:space="preserve">1,89 </w:t>
      </w:r>
      <w:r w:rsidRPr="00A31DC2">
        <w:rPr>
          <w:rFonts w:ascii="Arial" w:hAnsi="Arial" w:cs="Arial"/>
          <w:snapToGrid w:val="0"/>
          <w:color w:val="000000"/>
        </w:rPr>
        <w:t xml:space="preserve">kV po dobu 1 </w:t>
      </w:r>
      <w:r w:rsidRPr="00FF34B1">
        <w:rPr>
          <w:rFonts w:ascii="Arial" w:hAnsi="Arial" w:cs="Arial"/>
          <w:snapToGrid w:val="0"/>
          <w:color w:val="FF0000"/>
        </w:rPr>
        <w:t xml:space="preserve">sekundy </w:t>
      </w:r>
      <w:r w:rsidRPr="00A31DC2">
        <w:rPr>
          <w:rFonts w:ascii="Arial" w:hAnsi="Arial" w:cs="Arial"/>
          <w:snapToGrid w:val="0"/>
          <w:color w:val="000000"/>
        </w:rPr>
        <w:t>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0" w14:textId="77777777" w:rsidR="00951E22" w:rsidRPr="00EE5E43" w:rsidRDefault="00951E22" w:rsidP="00951E22">
      <w:pPr>
        <w:tabs>
          <w:tab w:val="left" w:pos="284"/>
        </w:tabs>
        <w:spacing w:before="80"/>
        <w:jc w:val="both"/>
        <w:rPr>
          <w:rFonts w:ascii="Arial" w:hAnsi="Arial" w:cs="Arial"/>
          <w:snapToGrid w:val="0"/>
          <w:color w:val="000000"/>
        </w:rPr>
      </w:pPr>
      <w:r w:rsidRPr="00EE5E43">
        <w:rPr>
          <w:rFonts w:ascii="Arial" w:hAnsi="Arial" w:cs="Arial"/>
          <w:snapToGrid w:val="0"/>
          <w:color w:val="000000"/>
        </w:rPr>
        <w:t>Všechny dokumenty musí být v českém jazyce.</w:t>
      </w:r>
    </w:p>
    <w:p w14:paraId="0C2636B1" w14:textId="77777777" w:rsidR="00951E22" w:rsidRPr="00EE5E43" w:rsidRDefault="00951E22" w:rsidP="00B87703">
      <w:pPr>
        <w:tabs>
          <w:tab w:val="left" w:pos="426"/>
          <w:tab w:val="left" w:pos="6521"/>
        </w:tabs>
        <w:spacing w:before="120"/>
        <w:jc w:val="both"/>
        <w:rPr>
          <w:rFonts w:ascii="Arial" w:hAnsi="Arial" w:cs="Arial"/>
        </w:rPr>
      </w:pP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41A3CA5C"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r w:rsidR="00A1703D">
        <w:rPr>
          <w:rFonts w:ascii="Arial" w:hAnsi="Arial" w:cs="Arial"/>
          <w:snapToGrid w:val="0"/>
          <w:color w:val="000000"/>
        </w:rPr>
        <w:t xml:space="preserve"> Schémata uvedená v přílohách </w:t>
      </w:r>
      <w:r w:rsidR="006B28B2">
        <w:rPr>
          <w:rFonts w:ascii="Arial" w:hAnsi="Arial" w:cs="Arial"/>
          <w:snapToGrid w:val="0"/>
          <w:color w:val="000000"/>
        </w:rPr>
        <w:t>č.A1 až A5 jsou pouze ideová a slouží jako názorný příklad.</w:t>
      </w:r>
    </w:p>
    <w:p w14:paraId="0C2636BB" w14:textId="77777777"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č.A1</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77777777"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č.A2</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vydrátování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IEC</w:t>
      </w:r>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č.A3</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č.A4</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67159F8C"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Příloha č.A5</w:t>
      </w:r>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vydrátování SMART rozvaděče pro zapojení </w:t>
      </w:r>
      <w:r>
        <w:rPr>
          <w:rFonts w:ascii="Arial" w:hAnsi="Arial" w:cs="Arial"/>
          <w:snapToGrid w:val="0"/>
          <w:color w:val="000000"/>
        </w:rPr>
        <w:t>KKSKKT</w:t>
      </w:r>
    </w:p>
    <w:p w14:paraId="4396BE5D" w14:textId="4ED04ECF" w:rsidR="00375D92" w:rsidRPr="002D406D" w:rsidRDefault="00375D92" w:rsidP="002D406D">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534AE65A" w14:textId="77777777" w:rsidR="00375D92" w:rsidRDefault="00375D92" w:rsidP="003E2ACA">
      <w:pPr>
        <w:tabs>
          <w:tab w:val="left" w:pos="284"/>
          <w:tab w:val="left" w:pos="2127"/>
          <w:tab w:val="left" w:pos="3402"/>
        </w:tabs>
        <w:spacing w:before="80"/>
        <w:ind w:left="3969" w:hanging="3969"/>
        <w:jc w:val="both"/>
        <w:rPr>
          <w:rFonts w:ascii="Arial" w:hAnsi="Arial" w:cs="Arial"/>
          <w:snapToGrid w:val="0"/>
          <w:color w:val="000000"/>
        </w:rPr>
      </w:pPr>
    </w:p>
    <w:p w14:paraId="0C2636C5" w14:textId="77777777" w:rsidR="005831AD" w:rsidRPr="00EE5E43" w:rsidRDefault="005831AD" w:rsidP="00394A60">
      <w:pPr>
        <w:tabs>
          <w:tab w:val="left" w:pos="284"/>
        </w:tabs>
        <w:spacing w:before="80"/>
        <w:jc w:val="both"/>
        <w:rPr>
          <w:rFonts w:ascii="Arial" w:hAnsi="Arial" w:cs="Arial"/>
          <w:snapToGrid w:val="0"/>
          <w:color w:val="000000"/>
        </w:rPr>
      </w:pPr>
    </w:p>
    <w:sectPr w:rsidR="005831AD" w:rsidRPr="00EE5E43" w:rsidSect="001C2461">
      <w:headerReference w:type="even" r:id="rId15"/>
      <w:headerReference w:type="default" r:id="rId16"/>
      <w:footerReference w:type="even" r:id="rId17"/>
      <w:footerReference w:type="default" r:id="rId18"/>
      <w:headerReference w:type="first" r:id="rId19"/>
      <w:footerReference w:type="first" r:id="rId20"/>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15C31" w14:textId="77777777" w:rsidR="00422F16" w:rsidRDefault="00422F16">
      <w:r>
        <w:separator/>
      </w:r>
    </w:p>
  </w:endnote>
  <w:endnote w:type="continuationSeparator" w:id="0">
    <w:p w14:paraId="40451C59" w14:textId="77777777" w:rsidR="00422F16" w:rsidRDefault="00422F16">
      <w:r>
        <w:continuationSeparator/>
      </w:r>
    </w:p>
  </w:endnote>
  <w:endnote w:type="continuationNotice" w:id="1">
    <w:p w14:paraId="34EB2993" w14:textId="77777777" w:rsidR="00422F16" w:rsidRDefault="00422F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830826"/>
      <w:docPartObj>
        <w:docPartGallery w:val="Page Numbers (Bottom of Page)"/>
        <w:docPartUnique/>
      </w:docPartObj>
    </w:sdt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9ED" w14:textId="77777777" w:rsidR="00DB0C70" w:rsidRDefault="00DB0C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D28DB" w14:textId="77777777" w:rsidR="00422F16" w:rsidRDefault="00422F16">
      <w:r>
        <w:separator/>
      </w:r>
    </w:p>
  </w:footnote>
  <w:footnote w:type="continuationSeparator" w:id="0">
    <w:p w14:paraId="48D6D049" w14:textId="77777777" w:rsidR="00422F16" w:rsidRDefault="00422F16">
      <w:r>
        <w:continuationSeparator/>
      </w:r>
    </w:p>
  </w:footnote>
  <w:footnote w:type="continuationNotice" w:id="1">
    <w:p w14:paraId="71002398" w14:textId="77777777" w:rsidR="00422F16" w:rsidRDefault="00422F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936D" w14:textId="77777777" w:rsidR="00DB0C70" w:rsidRDefault="00DB0C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0DF5" w14:textId="77777777" w:rsidR="00DB0C70" w:rsidRDefault="00DB0C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5382"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kupujícího: </w:t>
    </w:r>
    <w:r w:rsidRPr="002A0F89">
      <w:rPr>
        <w:rFonts w:ascii="Arial" w:hAnsi="Arial" w:cs="Arial"/>
        <w:b/>
        <w:sz w:val="18"/>
        <w:highlight w:val="green"/>
      </w:rPr>
      <w:t>následně doplní zadavatel</w:t>
    </w:r>
  </w:p>
  <w:p w14:paraId="2BA0734D"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prodávajícího č. 1: </w:t>
    </w:r>
    <w:r w:rsidRPr="002A0F89">
      <w:rPr>
        <w:rFonts w:ascii="Arial" w:hAnsi="Arial" w:cs="Arial"/>
        <w:b/>
        <w:sz w:val="18"/>
        <w:highlight w:val="yellow"/>
      </w:rPr>
      <w:t>doplní účastník</w:t>
    </w:r>
  </w:p>
  <w:p w14:paraId="457418FB" w14:textId="77777777" w:rsidR="00C25B15" w:rsidRPr="00DB0C70" w:rsidRDefault="00C25B15" w:rsidP="00C25B15">
    <w:pPr>
      <w:pStyle w:val="Zhlav"/>
      <w:jc w:val="right"/>
      <w:rPr>
        <w:rFonts w:ascii="Arial" w:hAnsi="Arial" w:cs="Arial"/>
        <w:b/>
        <w:sz w:val="18"/>
        <w:highlight w:val="green"/>
      </w:rPr>
    </w:pPr>
    <w:r w:rsidRPr="00DB0C70">
      <w:rPr>
        <w:rFonts w:ascii="Arial" w:hAnsi="Arial" w:cs="Arial"/>
        <w:b/>
        <w:sz w:val="18"/>
      </w:rPr>
      <w:t xml:space="preserve">Číslo smlouvy prodávajícího č. 2: </w:t>
    </w:r>
    <w:r w:rsidRPr="002A0F89">
      <w:rPr>
        <w:rFonts w:ascii="Arial" w:hAnsi="Arial" w:cs="Arial"/>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5B384AB0"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2C24A1">
      <w:rPr>
        <w:rFonts w:ascii="Arial" w:hAnsi="Arial" w:cs="Arial"/>
        <w:b/>
        <w:sz w:val="24"/>
      </w:rPr>
      <w:t xml:space="preserve"> 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3"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7"/>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5"/>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1"/>
  </w:num>
  <w:num w:numId="18" w16cid:durableId="943614354">
    <w:abstractNumId w:val="28"/>
  </w:num>
  <w:num w:numId="19" w16cid:durableId="1704401114">
    <w:abstractNumId w:val="14"/>
  </w:num>
  <w:num w:numId="20" w16cid:durableId="425394427">
    <w:abstractNumId w:val="38"/>
  </w:num>
  <w:num w:numId="21" w16cid:durableId="954099339">
    <w:abstractNumId w:val="11"/>
  </w:num>
  <w:num w:numId="22" w16cid:durableId="936401551">
    <w:abstractNumId w:val="5"/>
  </w:num>
  <w:num w:numId="23" w16cid:durableId="1501040278">
    <w:abstractNumId w:val="34"/>
  </w:num>
  <w:num w:numId="24" w16cid:durableId="908999118">
    <w:abstractNumId w:val="33"/>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6"/>
  </w:num>
  <w:num w:numId="35" w16cid:durableId="807550113">
    <w:abstractNumId w:val="1"/>
  </w:num>
  <w:num w:numId="36" w16cid:durableId="769158118">
    <w:abstractNumId w:val="30"/>
  </w:num>
  <w:num w:numId="37" w16cid:durableId="553854348">
    <w:abstractNumId w:val="32"/>
  </w:num>
  <w:num w:numId="38" w16cid:durableId="1155729901">
    <w:abstractNumId w:val="8"/>
  </w:num>
  <w:num w:numId="39" w16cid:durableId="88521729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74"/>
    <w:rsid w:val="00005FEE"/>
    <w:rsid w:val="000068F9"/>
    <w:rsid w:val="00006B09"/>
    <w:rsid w:val="00010BB1"/>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36992"/>
    <w:rsid w:val="0004693B"/>
    <w:rsid w:val="00054C9C"/>
    <w:rsid w:val="000557E1"/>
    <w:rsid w:val="00055A11"/>
    <w:rsid w:val="00056164"/>
    <w:rsid w:val="0005690D"/>
    <w:rsid w:val="000569BA"/>
    <w:rsid w:val="00070757"/>
    <w:rsid w:val="00070A84"/>
    <w:rsid w:val="000710EB"/>
    <w:rsid w:val="00071E1F"/>
    <w:rsid w:val="00072677"/>
    <w:rsid w:val="00072C01"/>
    <w:rsid w:val="00073549"/>
    <w:rsid w:val="000751EA"/>
    <w:rsid w:val="000751FE"/>
    <w:rsid w:val="0007598A"/>
    <w:rsid w:val="00076F61"/>
    <w:rsid w:val="00081FA8"/>
    <w:rsid w:val="00083806"/>
    <w:rsid w:val="000859BE"/>
    <w:rsid w:val="00090497"/>
    <w:rsid w:val="00090BCF"/>
    <w:rsid w:val="00090D27"/>
    <w:rsid w:val="0009136D"/>
    <w:rsid w:val="0009171D"/>
    <w:rsid w:val="00093AE4"/>
    <w:rsid w:val="00093D40"/>
    <w:rsid w:val="00095B65"/>
    <w:rsid w:val="00095C65"/>
    <w:rsid w:val="000A0689"/>
    <w:rsid w:val="000A0A41"/>
    <w:rsid w:val="000A2D20"/>
    <w:rsid w:val="000A315B"/>
    <w:rsid w:val="000A36FA"/>
    <w:rsid w:val="000A3E73"/>
    <w:rsid w:val="000A3F01"/>
    <w:rsid w:val="000A3F79"/>
    <w:rsid w:val="000A4C7A"/>
    <w:rsid w:val="000A4D51"/>
    <w:rsid w:val="000A5B63"/>
    <w:rsid w:val="000A5CA9"/>
    <w:rsid w:val="000A7FD6"/>
    <w:rsid w:val="000B0AA8"/>
    <w:rsid w:val="000C172E"/>
    <w:rsid w:val="000C29FD"/>
    <w:rsid w:val="000C34C4"/>
    <w:rsid w:val="000C380D"/>
    <w:rsid w:val="000C3C41"/>
    <w:rsid w:val="000C3D44"/>
    <w:rsid w:val="000C61E3"/>
    <w:rsid w:val="000D1157"/>
    <w:rsid w:val="000D179A"/>
    <w:rsid w:val="000D2ACD"/>
    <w:rsid w:val="000D338A"/>
    <w:rsid w:val="000D407F"/>
    <w:rsid w:val="000D4238"/>
    <w:rsid w:val="000D552B"/>
    <w:rsid w:val="000D799A"/>
    <w:rsid w:val="000E260A"/>
    <w:rsid w:val="000E3CF0"/>
    <w:rsid w:val="000E4BED"/>
    <w:rsid w:val="000E5D96"/>
    <w:rsid w:val="000E7030"/>
    <w:rsid w:val="000E7074"/>
    <w:rsid w:val="000F0466"/>
    <w:rsid w:val="000F10CA"/>
    <w:rsid w:val="000F17D6"/>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1CE5"/>
    <w:rsid w:val="0014441A"/>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2F2F"/>
    <w:rsid w:val="00192F3C"/>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12C1F"/>
    <w:rsid w:val="002135C7"/>
    <w:rsid w:val="00214CC6"/>
    <w:rsid w:val="002155B2"/>
    <w:rsid w:val="00215C9B"/>
    <w:rsid w:val="0021627C"/>
    <w:rsid w:val="00216DDA"/>
    <w:rsid w:val="00217705"/>
    <w:rsid w:val="002179BC"/>
    <w:rsid w:val="0022028A"/>
    <w:rsid w:val="00220711"/>
    <w:rsid w:val="0022113B"/>
    <w:rsid w:val="002268A9"/>
    <w:rsid w:val="0022717A"/>
    <w:rsid w:val="00230C63"/>
    <w:rsid w:val="0023406C"/>
    <w:rsid w:val="00235928"/>
    <w:rsid w:val="00236981"/>
    <w:rsid w:val="00243FE9"/>
    <w:rsid w:val="0024491D"/>
    <w:rsid w:val="00245983"/>
    <w:rsid w:val="00246025"/>
    <w:rsid w:val="00251449"/>
    <w:rsid w:val="0025374F"/>
    <w:rsid w:val="00253B88"/>
    <w:rsid w:val="0026032C"/>
    <w:rsid w:val="00260E79"/>
    <w:rsid w:val="002619CB"/>
    <w:rsid w:val="00263E8F"/>
    <w:rsid w:val="00263F33"/>
    <w:rsid w:val="0026594A"/>
    <w:rsid w:val="00265CBE"/>
    <w:rsid w:val="00265E10"/>
    <w:rsid w:val="00266485"/>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1"/>
    <w:rsid w:val="002919A3"/>
    <w:rsid w:val="0029326B"/>
    <w:rsid w:val="0029426C"/>
    <w:rsid w:val="002A0F89"/>
    <w:rsid w:val="002A2D14"/>
    <w:rsid w:val="002A3C4A"/>
    <w:rsid w:val="002A3C5A"/>
    <w:rsid w:val="002A45F2"/>
    <w:rsid w:val="002A4997"/>
    <w:rsid w:val="002A6A22"/>
    <w:rsid w:val="002B1FCD"/>
    <w:rsid w:val="002B21E8"/>
    <w:rsid w:val="002B5223"/>
    <w:rsid w:val="002B60E0"/>
    <w:rsid w:val="002B6719"/>
    <w:rsid w:val="002B7274"/>
    <w:rsid w:val="002B7CAB"/>
    <w:rsid w:val="002C1592"/>
    <w:rsid w:val="002C187B"/>
    <w:rsid w:val="002C2409"/>
    <w:rsid w:val="002C24A1"/>
    <w:rsid w:val="002C2C48"/>
    <w:rsid w:val="002C30B3"/>
    <w:rsid w:val="002C3873"/>
    <w:rsid w:val="002C4E96"/>
    <w:rsid w:val="002C56F6"/>
    <w:rsid w:val="002D0D29"/>
    <w:rsid w:val="002D3042"/>
    <w:rsid w:val="002D406D"/>
    <w:rsid w:val="002D495E"/>
    <w:rsid w:val="002D5099"/>
    <w:rsid w:val="002D5F62"/>
    <w:rsid w:val="002D6418"/>
    <w:rsid w:val="002E3103"/>
    <w:rsid w:val="002E3E7C"/>
    <w:rsid w:val="002E3FCE"/>
    <w:rsid w:val="002E43C7"/>
    <w:rsid w:val="002E48CC"/>
    <w:rsid w:val="002E4C4F"/>
    <w:rsid w:val="002E7A87"/>
    <w:rsid w:val="002F025D"/>
    <w:rsid w:val="002F5398"/>
    <w:rsid w:val="002F64E2"/>
    <w:rsid w:val="00301614"/>
    <w:rsid w:val="003017F4"/>
    <w:rsid w:val="00302B14"/>
    <w:rsid w:val="00304399"/>
    <w:rsid w:val="00305A56"/>
    <w:rsid w:val="00306588"/>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9D"/>
    <w:rsid w:val="00333E04"/>
    <w:rsid w:val="003362DE"/>
    <w:rsid w:val="00336754"/>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90B00"/>
    <w:rsid w:val="00390C83"/>
    <w:rsid w:val="00390CB7"/>
    <w:rsid w:val="003928B3"/>
    <w:rsid w:val="00393091"/>
    <w:rsid w:val="00394A60"/>
    <w:rsid w:val="00397D33"/>
    <w:rsid w:val="003A100C"/>
    <w:rsid w:val="003A2C8B"/>
    <w:rsid w:val="003A729B"/>
    <w:rsid w:val="003A73FB"/>
    <w:rsid w:val="003B0A3B"/>
    <w:rsid w:val="003B0FB4"/>
    <w:rsid w:val="003B19B1"/>
    <w:rsid w:val="003B1E48"/>
    <w:rsid w:val="003B1FE6"/>
    <w:rsid w:val="003B4ABA"/>
    <w:rsid w:val="003B50AC"/>
    <w:rsid w:val="003B50E9"/>
    <w:rsid w:val="003B67EF"/>
    <w:rsid w:val="003B71F2"/>
    <w:rsid w:val="003B7ABA"/>
    <w:rsid w:val="003C0D9F"/>
    <w:rsid w:val="003C25D7"/>
    <w:rsid w:val="003C2BD5"/>
    <w:rsid w:val="003C6330"/>
    <w:rsid w:val="003C6434"/>
    <w:rsid w:val="003C70E7"/>
    <w:rsid w:val="003D0104"/>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15C3"/>
    <w:rsid w:val="004149DB"/>
    <w:rsid w:val="004155A0"/>
    <w:rsid w:val="00416D2D"/>
    <w:rsid w:val="00420517"/>
    <w:rsid w:val="004206B3"/>
    <w:rsid w:val="00420B6D"/>
    <w:rsid w:val="004215DD"/>
    <w:rsid w:val="0042190B"/>
    <w:rsid w:val="00421E0E"/>
    <w:rsid w:val="00421F60"/>
    <w:rsid w:val="00422F16"/>
    <w:rsid w:val="00423FE5"/>
    <w:rsid w:val="00426B71"/>
    <w:rsid w:val="00426BE8"/>
    <w:rsid w:val="00427596"/>
    <w:rsid w:val="00427F6E"/>
    <w:rsid w:val="00432CF7"/>
    <w:rsid w:val="00435168"/>
    <w:rsid w:val="00435A6F"/>
    <w:rsid w:val="0043724D"/>
    <w:rsid w:val="00443246"/>
    <w:rsid w:val="00443384"/>
    <w:rsid w:val="00445FF5"/>
    <w:rsid w:val="00447F59"/>
    <w:rsid w:val="00451039"/>
    <w:rsid w:val="00451F21"/>
    <w:rsid w:val="0045249A"/>
    <w:rsid w:val="00453764"/>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66F"/>
    <w:rsid w:val="00490878"/>
    <w:rsid w:val="004914C5"/>
    <w:rsid w:val="004943FD"/>
    <w:rsid w:val="0049451C"/>
    <w:rsid w:val="00495092"/>
    <w:rsid w:val="00495B20"/>
    <w:rsid w:val="00496AAC"/>
    <w:rsid w:val="00496F02"/>
    <w:rsid w:val="00497B19"/>
    <w:rsid w:val="004A074A"/>
    <w:rsid w:val="004A1E79"/>
    <w:rsid w:val="004A28D4"/>
    <w:rsid w:val="004A596A"/>
    <w:rsid w:val="004A5D98"/>
    <w:rsid w:val="004A7823"/>
    <w:rsid w:val="004B0E9D"/>
    <w:rsid w:val="004B16EE"/>
    <w:rsid w:val="004B2BEA"/>
    <w:rsid w:val="004B4C7B"/>
    <w:rsid w:val="004B6D42"/>
    <w:rsid w:val="004B74E7"/>
    <w:rsid w:val="004B76B9"/>
    <w:rsid w:val="004C1752"/>
    <w:rsid w:val="004C1F88"/>
    <w:rsid w:val="004C459D"/>
    <w:rsid w:val="004C4668"/>
    <w:rsid w:val="004C4C36"/>
    <w:rsid w:val="004C7FEF"/>
    <w:rsid w:val="004D0A03"/>
    <w:rsid w:val="004D3532"/>
    <w:rsid w:val="004D6DB2"/>
    <w:rsid w:val="004D7D14"/>
    <w:rsid w:val="004E0486"/>
    <w:rsid w:val="004E0901"/>
    <w:rsid w:val="004E4816"/>
    <w:rsid w:val="004F0A8F"/>
    <w:rsid w:val="004F0D1D"/>
    <w:rsid w:val="004F11E6"/>
    <w:rsid w:val="004F23AB"/>
    <w:rsid w:val="004F40B8"/>
    <w:rsid w:val="004F4F8B"/>
    <w:rsid w:val="004F7220"/>
    <w:rsid w:val="004F7930"/>
    <w:rsid w:val="004F7D63"/>
    <w:rsid w:val="00500372"/>
    <w:rsid w:val="00500C41"/>
    <w:rsid w:val="00501EF3"/>
    <w:rsid w:val="00506044"/>
    <w:rsid w:val="00507025"/>
    <w:rsid w:val="00507415"/>
    <w:rsid w:val="0050770D"/>
    <w:rsid w:val="0051014E"/>
    <w:rsid w:val="0051080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503AC"/>
    <w:rsid w:val="00550592"/>
    <w:rsid w:val="00550BA3"/>
    <w:rsid w:val="0055195E"/>
    <w:rsid w:val="00551D77"/>
    <w:rsid w:val="0055330E"/>
    <w:rsid w:val="00555072"/>
    <w:rsid w:val="0055782F"/>
    <w:rsid w:val="00557F05"/>
    <w:rsid w:val="00561467"/>
    <w:rsid w:val="005628AF"/>
    <w:rsid w:val="00563F29"/>
    <w:rsid w:val="00565780"/>
    <w:rsid w:val="00566837"/>
    <w:rsid w:val="00567932"/>
    <w:rsid w:val="00571228"/>
    <w:rsid w:val="00571947"/>
    <w:rsid w:val="00572595"/>
    <w:rsid w:val="00573FA6"/>
    <w:rsid w:val="0057447A"/>
    <w:rsid w:val="00577725"/>
    <w:rsid w:val="00577D7B"/>
    <w:rsid w:val="00577D9A"/>
    <w:rsid w:val="00581F93"/>
    <w:rsid w:val="00582290"/>
    <w:rsid w:val="005822E6"/>
    <w:rsid w:val="00582543"/>
    <w:rsid w:val="005831AD"/>
    <w:rsid w:val="00584174"/>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78A9"/>
    <w:rsid w:val="005A7B49"/>
    <w:rsid w:val="005B114B"/>
    <w:rsid w:val="005B276D"/>
    <w:rsid w:val="005B3D1B"/>
    <w:rsid w:val="005B6729"/>
    <w:rsid w:val="005B6C0C"/>
    <w:rsid w:val="005B7AF6"/>
    <w:rsid w:val="005C042C"/>
    <w:rsid w:val="005C0D98"/>
    <w:rsid w:val="005C214D"/>
    <w:rsid w:val="005C289A"/>
    <w:rsid w:val="005C5BD2"/>
    <w:rsid w:val="005C64A8"/>
    <w:rsid w:val="005C6A0B"/>
    <w:rsid w:val="005D1D13"/>
    <w:rsid w:val="005D2F73"/>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D3C"/>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DB6"/>
    <w:rsid w:val="00616013"/>
    <w:rsid w:val="00616156"/>
    <w:rsid w:val="00616DB2"/>
    <w:rsid w:val="00620A55"/>
    <w:rsid w:val="00621C5E"/>
    <w:rsid w:val="00624E38"/>
    <w:rsid w:val="00625ADB"/>
    <w:rsid w:val="00626295"/>
    <w:rsid w:val="00627A24"/>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DC7"/>
    <w:rsid w:val="00663100"/>
    <w:rsid w:val="006637BF"/>
    <w:rsid w:val="00666C6A"/>
    <w:rsid w:val="00667434"/>
    <w:rsid w:val="00667AA4"/>
    <w:rsid w:val="00670386"/>
    <w:rsid w:val="00670B20"/>
    <w:rsid w:val="006714A8"/>
    <w:rsid w:val="006721E4"/>
    <w:rsid w:val="00675818"/>
    <w:rsid w:val="00675ECA"/>
    <w:rsid w:val="006761FA"/>
    <w:rsid w:val="0067690B"/>
    <w:rsid w:val="006775BC"/>
    <w:rsid w:val="00677C09"/>
    <w:rsid w:val="00690912"/>
    <w:rsid w:val="0069095C"/>
    <w:rsid w:val="0069187F"/>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1074"/>
    <w:rsid w:val="006B28B2"/>
    <w:rsid w:val="006B3FA4"/>
    <w:rsid w:val="006B449B"/>
    <w:rsid w:val="006B4767"/>
    <w:rsid w:val="006B4F0E"/>
    <w:rsid w:val="006B650D"/>
    <w:rsid w:val="006B6D67"/>
    <w:rsid w:val="006C0103"/>
    <w:rsid w:val="006C0309"/>
    <w:rsid w:val="006C09AF"/>
    <w:rsid w:val="006C1F52"/>
    <w:rsid w:val="006C2081"/>
    <w:rsid w:val="006C29A4"/>
    <w:rsid w:val="006C40F3"/>
    <w:rsid w:val="006C513F"/>
    <w:rsid w:val="006D198D"/>
    <w:rsid w:val="006D24E4"/>
    <w:rsid w:val="006D3D97"/>
    <w:rsid w:val="006D61EF"/>
    <w:rsid w:val="006E0560"/>
    <w:rsid w:val="006E1551"/>
    <w:rsid w:val="006E261A"/>
    <w:rsid w:val="006E2B80"/>
    <w:rsid w:val="006E2E46"/>
    <w:rsid w:val="006E35D8"/>
    <w:rsid w:val="006E3858"/>
    <w:rsid w:val="006E416E"/>
    <w:rsid w:val="006E4CC4"/>
    <w:rsid w:val="006E4FB2"/>
    <w:rsid w:val="006E5087"/>
    <w:rsid w:val="006E6E23"/>
    <w:rsid w:val="006E7800"/>
    <w:rsid w:val="006F1079"/>
    <w:rsid w:val="006F1197"/>
    <w:rsid w:val="006F1E0A"/>
    <w:rsid w:val="006F3677"/>
    <w:rsid w:val="006F3F74"/>
    <w:rsid w:val="006F4F30"/>
    <w:rsid w:val="006F52D1"/>
    <w:rsid w:val="006F5354"/>
    <w:rsid w:val="006F5C86"/>
    <w:rsid w:val="006F6838"/>
    <w:rsid w:val="006F77A5"/>
    <w:rsid w:val="00700072"/>
    <w:rsid w:val="0070040C"/>
    <w:rsid w:val="00701DAF"/>
    <w:rsid w:val="0070254B"/>
    <w:rsid w:val="0070275C"/>
    <w:rsid w:val="0070373D"/>
    <w:rsid w:val="0070509F"/>
    <w:rsid w:val="00714FFD"/>
    <w:rsid w:val="00715A76"/>
    <w:rsid w:val="00720EBA"/>
    <w:rsid w:val="00721E70"/>
    <w:rsid w:val="00722F1B"/>
    <w:rsid w:val="00726207"/>
    <w:rsid w:val="00727C9F"/>
    <w:rsid w:val="007314DF"/>
    <w:rsid w:val="00732E36"/>
    <w:rsid w:val="007330D0"/>
    <w:rsid w:val="007370EC"/>
    <w:rsid w:val="00742746"/>
    <w:rsid w:val="00742F8A"/>
    <w:rsid w:val="00743A6C"/>
    <w:rsid w:val="00744480"/>
    <w:rsid w:val="00745FE1"/>
    <w:rsid w:val="00746CAA"/>
    <w:rsid w:val="00747188"/>
    <w:rsid w:val="00747AD8"/>
    <w:rsid w:val="00750F6B"/>
    <w:rsid w:val="007525ED"/>
    <w:rsid w:val="00753312"/>
    <w:rsid w:val="007540E4"/>
    <w:rsid w:val="00754AD0"/>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4F1"/>
    <w:rsid w:val="007914E1"/>
    <w:rsid w:val="00792AF4"/>
    <w:rsid w:val="00795C4D"/>
    <w:rsid w:val="007962CC"/>
    <w:rsid w:val="00797682"/>
    <w:rsid w:val="007A209D"/>
    <w:rsid w:val="007A2426"/>
    <w:rsid w:val="007A2A06"/>
    <w:rsid w:val="007A2C71"/>
    <w:rsid w:val="007A321E"/>
    <w:rsid w:val="007A4E21"/>
    <w:rsid w:val="007A5711"/>
    <w:rsid w:val="007A7E8B"/>
    <w:rsid w:val="007B07A2"/>
    <w:rsid w:val="007B1606"/>
    <w:rsid w:val="007B195C"/>
    <w:rsid w:val="007B559F"/>
    <w:rsid w:val="007B55B4"/>
    <w:rsid w:val="007C1490"/>
    <w:rsid w:val="007C1638"/>
    <w:rsid w:val="007C1975"/>
    <w:rsid w:val="007C22F3"/>
    <w:rsid w:val="007C3AA1"/>
    <w:rsid w:val="007C40DB"/>
    <w:rsid w:val="007C579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27DA"/>
    <w:rsid w:val="007E31E5"/>
    <w:rsid w:val="007E4ED7"/>
    <w:rsid w:val="007E68AB"/>
    <w:rsid w:val="007F0592"/>
    <w:rsid w:val="007F5184"/>
    <w:rsid w:val="007F526E"/>
    <w:rsid w:val="00800340"/>
    <w:rsid w:val="008004DF"/>
    <w:rsid w:val="008006D8"/>
    <w:rsid w:val="00800F1F"/>
    <w:rsid w:val="00801D72"/>
    <w:rsid w:val="00803F22"/>
    <w:rsid w:val="00804927"/>
    <w:rsid w:val="0080635E"/>
    <w:rsid w:val="00806B8B"/>
    <w:rsid w:val="008100E6"/>
    <w:rsid w:val="00814A87"/>
    <w:rsid w:val="008156E2"/>
    <w:rsid w:val="008161ED"/>
    <w:rsid w:val="008171A9"/>
    <w:rsid w:val="00817F9A"/>
    <w:rsid w:val="008211A7"/>
    <w:rsid w:val="008221E0"/>
    <w:rsid w:val="00822E7A"/>
    <w:rsid w:val="00823395"/>
    <w:rsid w:val="00823A8A"/>
    <w:rsid w:val="00825076"/>
    <w:rsid w:val="00826F3A"/>
    <w:rsid w:val="008270B3"/>
    <w:rsid w:val="00827E73"/>
    <w:rsid w:val="00831C5B"/>
    <w:rsid w:val="0083261E"/>
    <w:rsid w:val="00835DAA"/>
    <w:rsid w:val="00835FF7"/>
    <w:rsid w:val="0083674C"/>
    <w:rsid w:val="00837E1A"/>
    <w:rsid w:val="00840010"/>
    <w:rsid w:val="00842AEF"/>
    <w:rsid w:val="00846DEB"/>
    <w:rsid w:val="00850DDF"/>
    <w:rsid w:val="0085553B"/>
    <w:rsid w:val="008560D2"/>
    <w:rsid w:val="0085661F"/>
    <w:rsid w:val="00857F8E"/>
    <w:rsid w:val="008608F8"/>
    <w:rsid w:val="00861947"/>
    <w:rsid w:val="00861B1D"/>
    <w:rsid w:val="00861B88"/>
    <w:rsid w:val="00861DD3"/>
    <w:rsid w:val="00861E99"/>
    <w:rsid w:val="0086410A"/>
    <w:rsid w:val="00865B89"/>
    <w:rsid w:val="008704A8"/>
    <w:rsid w:val="008714F9"/>
    <w:rsid w:val="00871B0B"/>
    <w:rsid w:val="00871E3A"/>
    <w:rsid w:val="0087241A"/>
    <w:rsid w:val="008739BB"/>
    <w:rsid w:val="00873F48"/>
    <w:rsid w:val="00874B2D"/>
    <w:rsid w:val="0088380C"/>
    <w:rsid w:val="00883906"/>
    <w:rsid w:val="008867BB"/>
    <w:rsid w:val="00890EE5"/>
    <w:rsid w:val="0089656A"/>
    <w:rsid w:val="00896E94"/>
    <w:rsid w:val="00896EBE"/>
    <w:rsid w:val="008A0EA4"/>
    <w:rsid w:val="008A1F8F"/>
    <w:rsid w:val="008B0DBA"/>
    <w:rsid w:val="008B2107"/>
    <w:rsid w:val="008B63F9"/>
    <w:rsid w:val="008C03C6"/>
    <w:rsid w:val="008C09DA"/>
    <w:rsid w:val="008C0E52"/>
    <w:rsid w:val="008C1F03"/>
    <w:rsid w:val="008C2A53"/>
    <w:rsid w:val="008C45CA"/>
    <w:rsid w:val="008C5C19"/>
    <w:rsid w:val="008C5CAA"/>
    <w:rsid w:val="008C78BB"/>
    <w:rsid w:val="008C7C50"/>
    <w:rsid w:val="008D0B92"/>
    <w:rsid w:val="008D57C0"/>
    <w:rsid w:val="008E1214"/>
    <w:rsid w:val="008E2101"/>
    <w:rsid w:val="008E3FFD"/>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514F"/>
    <w:rsid w:val="00935598"/>
    <w:rsid w:val="00935599"/>
    <w:rsid w:val="00936E97"/>
    <w:rsid w:val="0093794D"/>
    <w:rsid w:val="009404ED"/>
    <w:rsid w:val="009507A1"/>
    <w:rsid w:val="00951E22"/>
    <w:rsid w:val="00953C47"/>
    <w:rsid w:val="0096232B"/>
    <w:rsid w:val="00962695"/>
    <w:rsid w:val="00962F7A"/>
    <w:rsid w:val="00963A1D"/>
    <w:rsid w:val="00963CF5"/>
    <w:rsid w:val="0097123D"/>
    <w:rsid w:val="00972A0F"/>
    <w:rsid w:val="00975051"/>
    <w:rsid w:val="009751C6"/>
    <w:rsid w:val="00976574"/>
    <w:rsid w:val="009774E6"/>
    <w:rsid w:val="00977851"/>
    <w:rsid w:val="009805C9"/>
    <w:rsid w:val="00981E24"/>
    <w:rsid w:val="009910B5"/>
    <w:rsid w:val="00993034"/>
    <w:rsid w:val="0099341F"/>
    <w:rsid w:val="009A11CA"/>
    <w:rsid w:val="009A2C2A"/>
    <w:rsid w:val="009A2E07"/>
    <w:rsid w:val="009A2E52"/>
    <w:rsid w:val="009A318D"/>
    <w:rsid w:val="009A3B8E"/>
    <w:rsid w:val="009A3E3C"/>
    <w:rsid w:val="009A4428"/>
    <w:rsid w:val="009A46B0"/>
    <w:rsid w:val="009A7FF8"/>
    <w:rsid w:val="009B1566"/>
    <w:rsid w:val="009B444A"/>
    <w:rsid w:val="009B6D3E"/>
    <w:rsid w:val="009C0C4D"/>
    <w:rsid w:val="009C22B1"/>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2D1C"/>
    <w:rsid w:val="009F3847"/>
    <w:rsid w:val="009F3EFE"/>
    <w:rsid w:val="009F68DB"/>
    <w:rsid w:val="009F7E1A"/>
    <w:rsid w:val="00A00110"/>
    <w:rsid w:val="00A04047"/>
    <w:rsid w:val="00A04059"/>
    <w:rsid w:val="00A04530"/>
    <w:rsid w:val="00A054AD"/>
    <w:rsid w:val="00A06008"/>
    <w:rsid w:val="00A069F9"/>
    <w:rsid w:val="00A06EED"/>
    <w:rsid w:val="00A07531"/>
    <w:rsid w:val="00A10F8F"/>
    <w:rsid w:val="00A12A3F"/>
    <w:rsid w:val="00A13248"/>
    <w:rsid w:val="00A1458A"/>
    <w:rsid w:val="00A14E9F"/>
    <w:rsid w:val="00A16087"/>
    <w:rsid w:val="00A1703D"/>
    <w:rsid w:val="00A171AA"/>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4ECD"/>
    <w:rsid w:val="00A65B80"/>
    <w:rsid w:val="00A66474"/>
    <w:rsid w:val="00A70101"/>
    <w:rsid w:val="00A70622"/>
    <w:rsid w:val="00A70C18"/>
    <w:rsid w:val="00A71B89"/>
    <w:rsid w:val="00A72E47"/>
    <w:rsid w:val="00A75D8C"/>
    <w:rsid w:val="00A7746C"/>
    <w:rsid w:val="00A81840"/>
    <w:rsid w:val="00A82387"/>
    <w:rsid w:val="00A83FD3"/>
    <w:rsid w:val="00A85096"/>
    <w:rsid w:val="00A862B1"/>
    <w:rsid w:val="00A8667B"/>
    <w:rsid w:val="00A901F5"/>
    <w:rsid w:val="00A91568"/>
    <w:rsid w:val="00A940AC"/>
    <w:rsid w:val="00A940F4"/>
    <w:rsid w:val="00A952B3"/>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0AE3"/>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A10"/>
    <w:rsid w:val="00AE4586"/>
    <w:rsid w:val="00AE4C7E"/>
    <w:rsid w:val="00AE5DF3"/>
    <w:rsid w:val="00AE6066"/>
    <w:rsid w:val="00AE7057"/>
    <w:rsid w:val="00AF1789"/>
    <w:rsid w:val="00AF2F96"/>
    <w:rsid w:val="00AF3467"/>
    <w:rsid w:val="00AF6293"/>
    <w:rsid w:val="00AF7438"/>
    <w:rsid w:val="00AF7DED"/>
    <w:rsid w:val="00B00EE5"/>
    <w:rsid w:val="00B01682"/>
    <w:rsid w:val="00B02FA9"/>
    <w:rsid w:val="00B050D7"/>
    <w:rsid w:val="00B05CB3"/>
    <w:rsid w:val="00B10662"/>
    <w:rsid w:val="00B10763"/>
    <w:rsid w:val="00B1112D"/>
    <w:rsid w:val="00B1117C"/>
    <w:rsid w:val="00B111BD"/>
    <w:rsid w:val="00B13059"/>
    <w:rsid w:val="00B13223"/>
    <w:rsid w:val="00B1394D"/>
    <w:rsid w:val="00B149BA"/>
    <w:rsid w:val="00B16BEF"/>
    <w:rsid w:val="00B2000E"/>
    <w:rsid w:val="00B202E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5BAD"/>
    <w:rsid w:val="00B4783A"/>
    <w:rsid w:val="00B508C9"/>
    <w:rsid w:val="00B50AEC"/>
    <w:rsid w:val="00B55861"/>
    <w:rsid w:val="00B56153"/>
    <w:rsid w:val="00B60C3C"/>
    <w:rsid w:val="00B6259C"/>
    <w:rsid w:val="00B626DE"/>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A72A3"/>
    <w:rsid w:val="00BB08A8"/>
    <w:rsid w:val="00BB3BEB"/>
    <w:rsid w:val="00BB577E"/>
    <w:rsid w:val="00BB68BD"/>
    <w:rsid w:val="00BC35FA"/>
    <w:rsid w:val="00BC379E"/>
    <w:rsid w:val="00BD016B"/>
    <w:rsid w:val="00BD09D4"/>
    <w:rsid w:val="00BD0F63"/>
    <w:rsid w:val="00BD2DD4"/>
    <w:rsid w:val="00BD2EEC"/>
    <w:rsid w:val="00BD4A23"/>
    <w:rsid w:val="00BD5065"/>
    <w:rsid w:val="00BD5B56"/>
    <w:rsid w:val="00BD7633"/>
    <w:rsid w:val="00BE390F"/>
    <w:rsid w:val="00BE5DA7"/>
    <w:rsid w:val="00BE66D0"/>
    <w:rsid w:val="00BF0711"/>
    <w:rsid w:val="00BF1B55"/>
    <w:rsid w:val="00BF23F8"/>
    <w:rsid w:val="00BF32F6"/>
    <w:rsid w:val="00BF53FC"/>
    <w:rsid w:val="00BF5A6D"/>
    <w:rsid w:val="00BF5B58"/>
    <w:rsid w:val="00BF6536"/>
    <w:rsid w:val="00C007AF"/>
    <w:rsid w:val="00C02733"/>
    <w:rsid w:val="00C04E32"/>
    <w:rsid w:val="00C05103"/>
    <w:rsid w:val="00C0539D"/>
    <w:rsid w:val="00C06690"/>
    <w:rsid w:val="00C07BF1"/>
    <w:rsid w:val="00C11ECA"/>
    <w:rsid w:val="00C1298F"/>
    <w:rsid w:val="00C12D15"/>
    <w:rsid w:val="00C16B0D"/>
    <w:rsid w:val="00C17AB8"/>
    <w:rsid w:val="00C218BC"/>
    <w:rsid w:val="00C24CE4"/>
    <w:rsid w:val="00C25B15"/>
    <w:rsid w:val="00C26AF3"/>
    <w:rsid w:val="00C26BA9"/>
    <w:rsid w:val="00C31B55"/>
    <w:rsid w:val="00C320EA"/>
    <w:rsid w:val="00C32C53"/>
    <w:rsid w:val="00C33105"/>
    <w:rsid w:val="00C33AD2"/>
    <w:rsid w:val="00C346A1"/>
    <w:rsid w:val="00C356E0"/>
    <w:rsid w:val="00C3674B"/>
    <w:rsid w:val="00C401B0"/>
    <w:rsid w:val="00C403C3"/>
    <w:rsid w:val="00C4054E"/>
    <w:rsid w:val="00C4072A"/>
    <w:rsid w:val="00C41535"/>
    <w:rsid w:val="00C421B4"/>
    <w:rsid w:val="00C43966"/>
    <w:rsid w:val="00C45D5D"/>
    <w:rsid w:val="00C47A7E"/>
    <w:rsid w:val="00C505D4"/>
    <w:rsid w:val="00C50965"/>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F172C"/>
    <w:rsid w:val="00CF6BBF"/>
    <w:rsid w:val="00CF7556"/>
    <w:rsid w:val="00D01D7A"/>
    <w:rsid w:val="00D02B5B"/>
    <w:rsid w:val="00D03044"/>
    <w:rsid w:val="00D03A56"/>
    <w:rsid w:val="00D03D23"/>
    <w:rsid w:val="00D04012"/>
    <w:rsid w:val="00D05BDC"/>
    <w:rsid w:val="00D10558"/>
    <w:rsid w:val="00D10FEE"/>
    <w:rsid w:val="00D122BE"/>
    <w:rsid w:val="00D12AB1"/>
    <w:rsid w:val="00D13507"/>
    <w:rsid w:val="00D13C51"/>
    <w:rsid w:val="00D14304"/>
    <w:rsid w:val="00D14B0D"/>
    <w:rsid w:val="00D15135"/>
    <w:rsid w:val="00D15D01"/>
    <w:rsid w:val="00D15DB3"/>
    <w:rsid w:val="00D16693"/>
    <w:rsid w:val="00D17564"/>
    <w:rsid w:val="00D2106B"/>
    <w:rsid w:val="00D228BB"/>
    <w:rsid w:val="00D22D47"/>
    <w:rsid w:val="00D24D9B"/>
    <w:rsid w:val="00D324CA"/>
    <w:rsid w:val="00D328BD"/>
    <w:rsid w:val="00D3343E"/>
    <w:rsid w:val="00D34F27"/>
    <w:rsid w:val="00D37368"/>
    <w:rsid w:val="00D40543"/>
    <w:rsid w:val="00D407AE"/>
    <w:rsid w:val="00D45336"/>
    <w:rsid w:val="00D45A2E"/>
    <w:rsid w:val="00D46C3D"/>
    <w:rsid w:val="00D4727F"/>
    <w:rsid w:val="00D5087C"/>
    <w:rsid w:val="00D50EE3"/>
    <w:rsid w:val="00D5108C"/>
    <w:rsid w:val="00D51D4A"/>
    <w:rsid w:val="00D525F9"/>
    <w:rsid w:val="00D541FC"/>
    <w:rsid w:val="00D56944"/>
    <w:rsid w:val="00D577EA"/>
    <w:rsid w:val="00D60B7C"/>
    <w:rsid w:val="00D6170C"/>
    <w:rsid w:val="00D631CA"/>
    <w:rsid w:val="00D64A09"/>
    <w:rsid w:val="00D65AFB"/>
    <w:rsid w:val="00D6721A"/>
    <w:rsid w:val="00D67997"/>
    <w:rsid w:val="00D7043D"/>
    <w:rsid w:val="00D71075"/>
    <w:rsid w:val="00D72B83"/>
    <w:rsid w:val="00D735EF"/>
    <w:rsid w:val="00D7416A"/>
    <w:rsid w:val="00D75064"/>
    <w:rsid w:val="00D7537C"/>
    <w:rsid w:val="00D80240"/>
    <w:rsid w:val="00D83466"/>
    <w:rsid w:val="00D871F8"/>
    <w:rsid w:val="00D90126"/>
    <w:rsid w:val="00D91C95"/>
    <w:rsid w:val="00D92397"/>
    <w:rsid w:val="00D93A3D"/>
    <w:rsid w:val="00D9414D"/>
    <w:rsid w:val="00D94F86"/>
    <w:rsid w:val="00D9724B"/>
    <w:rsid w:val="00D97744"/>
    <w:rsid w:val="00DA0919"/>
    <w:rsid w:val="00DA141C"/>
    <w:rsid w:val="00DA142B"/>
    <w:rsid w:val="00DA34EB"/>
    <w:rsid w:val="00DA5727"/>
    <w:rsid w:val="00DA5DA1"/>
    <w:rsid w:val="00DA5FFD"/>
    <w:rsid w:val="00DA701D"/>
    <w:rsid w:val="00DA73B5"/>
    <w:rsid w:val="00DA7C94"/>
    <w:rsid w:val="00DB01C0"/>
    <w:rsid w:val="00DB0663"/>
    <w:rsid w:val="00DB0C70"/>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D0E"/>
    <w:rsid w:val="00DD16FF"/>
    <w:rsid w:val="00DD2054"/>
    <w:rsid w:val="00DD2323"/>
    <w:rsid w:val="00DD7384"/>
    <w:rsid w:val="00DE0373"/>
    <w:rsid w:val="00DE038C"/>
    <w:rsid w:val="00DE127A"/>
    <w:rsid w:val="00DE3677"/>
    <w:rsid w:val="00DE3FFD"/>
    <w:rsid w:val="00DE4762"/>
    <w:rsid w:val="00DE519B"/>
    <w:rsid w:val="00DE51A6"/>
    <w:rsid w:val="00DE62BB"/>
    <w:rsid w:val="00DE6B98"/>
    <w:rsid w:val="00DE70A9"/>
    <w:rsid w:val="00DF0D3B"/>
    <w:rsid w:val="00DF3ED8"/>
    <w:rsid w:val="00DF4009"/>
    <w:rsid w:val="00DF4625"/>
    <w:rsid w:val="00DF5765"/>
    <w:rsid w:val="00DF6ED3"/>
    <w:rsid w:val="00DF6FC5"/>
    <w:rsid w:val="00E00153"/>
    <w:rsid w:val="00E00A38"/>
    <w:rsid w:val="00E00CD8"/>
    <w:rsid w:val="00E02E1E"/>
    <w:rsid w:val="00E039FF"/>
    <w:rsid w:val="00E03EEF"/>
    <w:rsid w:val="00E053AF"/>
    <w:rsid w:val="00E06DCF"/>
    <w:rsid w:val="00E06DE7"/>
    <w:rsid w:val="00E179C5"/>
    <w:rsid w:val="00E20526"/>
    <w:rsid w:val="00E20C5C"/>
    <w:rsid w:val="00E22145"/>
    <w:rsid w:val="00E247FB"/>
    <w:rsid w:val="00E258EA"/>
    <w:rsid w:val="00E31CC4"/>
    <w:rsid w:val="00E323F2"/>
    <w:rsid w:val="00E326F2"/>
    <w:rsid w:val="00E3272B"/>
    <w:rsid w:val="00E32CCE"/>
    <w:rsid w:val="00E34395"/>
    <w:rsid w:val="00E403C9"/>
    <w:rsid w:val="00E4054B"/>
    <w:rsid w:val="00E44C22"/>
    <w:rsid w:val="00E4712D"/>
    <w:rsid w:val="00E52C69"/>
    <w:rsid w:val="00E53665"/>
    <w:rsid w:val="00E54A8D"/>
    <w:rsid w:val="00E55953"/>
    <w:rsid w:val="00E56CAD"/>
    <w:rsid w:val="00E60705"/>
    <w:rsid w:val="00E60A99"/>
    <w:rsid w:val="00E6206B"/>
    <w:rsid w:val="00E62370"/>
    <w:rsid w:val="00E659FA"/>
    <w:rsid w:val="00E66E9B"/>
    <w:rsid w:val="00E670D6"/>
    <w:rsid w:val="00E6769D"/>
    <w:rsid w:val="00E70968"/>
    <w:rsid w:val="00E73AC4"/>
    <w:rsid w:val="00E740E0"/>
    <w:rsid w:val="00E767D6"/>
    <w:rsid w:val="00E809A5"/>
    <w:rsid w:val="00E81410"/>
    <w:rsid w:val="00E81978"/>
    <w:rsid w:val="00E81A03"/>
    <w:rsid w:val="00E82700"/>
    <w:rsid w:val="00E830B8"/>
    <w:rsid w:val="00E83612"/>
    <w:rsid w:val="00E83DBE"/>
    <w:rsid w:val="00E84D91"/>
    <w:rsid w:val="00E84FEC"/>
    <w:rsid w:val="00E85E42"/>
    <w:rsid w:val="00E86F4D"/>
    <w:rsid w:val="00E91F14"/>
    <w:rsid w:val="00E94B9E"/>
    <w:rsid w:val="00E95C00"/>
    <w:rsid w:val="00E95CF3"/>
    <w:rsid w:val="00E96519"/>
    <w:rsid w:val="00E96F05"/>
    <w:rsid w:val="00EA0AAF"/>
    <w:rsid w:val="00EA2BC1"/>
    <w:rsid w:val="00EA44B1"/>
    <w:rsid w:val="00EA7406"/>
    <w:rsid w:val="00EB0096"/>
    <w:rsid w:val="00EB04AA"/>
    <w:rsid w:val="00EB17B1"/>
    <w:rsid w:val="00EB20FA"/>
    <w:rsid w:val="00EB2BEA"/>
    <w:rsid w:val="00EB2C61"/>
    <w:rsid w:val="00EB5159"/>
    <w:rsid w:val="00EB74AD"/>
    <w:rsid w:val="00EC2282"/>
    <w:rsid w:val="00EC39A7"/>
    <w:rsid w:val="00EC4467"/>
    <w:rsid w:val="00EC63E6"/>
    <w:rsid w:val="00EC6BF7"/>
    <w:rsid w:val="00EC7BCA"/>
    <w:rsid w:val="00ED04AD"/>
    <w:rsid w:val="00ED07F4"/>
    <w:rsid w:val="00ED3F80"/>
    <w:rsid w:val="00ED4DA6"/>
    <w:rsid w:val="00ED5DAE"/>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28E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4034"/>
    <w:rsid w:val="00F649FF"/>
    <w:rsid w:val="00F64EBE"/>
    <w:rsid w:val="00F65626"/>
    <w:rsid w:val="00F67F37"/>
    <w:rsid w:val="00F7020D"/>
    <w:rsid w:val="00F72BF8"/>
    <w:rsid w:val="00F752A1"/>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7490"/>
    <w:rsid w:val="00FD021C"/>
    <w:rsid w:val="00FD1957"/>
    <w:rsid w:val="00FD206E"/>
    <w:rsid w:val="00FD2A8F"/>
    <w:rsid w:val="00FE02CD"/>
    <w:rsid w:val="00FE2886"/>
    <w:rsid w:val="00FE29F2"/>
    <w:rsid w:val="00FE3379"/>
    <w:rsid w:val="00FE44FE"/>
    <w:rsid w:val="00FF03EC"/>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semiHidden/>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A508.D57CFD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35</Pages>
  <Words>10072</Words>
  <Characters>59430</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69364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Kabele, Roman</cp:lastModifiedBy>
  <cp:revision>4</cp:revision>
  <cp:lastPrinted>2019-01-30T20:29:00Z</cp:lastPrinted>
  <dcterms:created xsi:type="dcterms:W3CDTF">2024-01-15T09:15:00Z</dcterms:created>
  <dcterms:modified xsi:type="dcterms:W3CDTF">2024-01-15T09:57:00Z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