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1418" w:rsidRPr="00124F71" w:rsidRDefault="00124F71" w:rsidP="004E1418">
      <w:pPr>
        <w:pStyle w:val="ab"/>
        <w:numPr>
          <w:ilvl w:val="0"/>
          <w:numId w:val="0"/>
        </w:numPr>
        <w:spacing w:before="0" w:line="276" w:lineRule="auto"/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>03_SoD_</w:t>
      </w:r>
      <w:r w:rsidR="004E1418" w:rsidRPr="00124F71">
        <w:rPr>
          <w:rFonts w:ascii="Arial Narrow" w:hAnsi="Arial Narrow"/>
          <w:b/>
          <w:sz w:val="28"/>
        </w:rPr>
        <w:t>Příloha č. 3</w:t>
      </w:r>
      <w:r w:rsidR="00CC50E3" w:rsidRPr="00124F71">
        <w:rPr>
          <w:rFonts w:ascii="Arial Narrow" w:hAnsi="Arial Narrow"/>
          <w:b/>
          <w:sz w:val="28"/>
        </w:rPr>
        <w:t xml:space="preserve"> A: </w:t>
      </w:r>
      <w:r w:rsidR="004E1418" w:rsidRPr="00124F71">
        <w:rPr>
          <w:rFonts w:ascii="Arial Narrow" w:hAnsi="Arial Narrow"/>
          <w:b/>
          <w:sz w:val="28"/>
        </w:rPr>
        <w:t>Místo plnění</w:t>
      </w:r>
    </w:p>
    <w:p w:rsidR="004E1418" w:rsidRPr="00124F71" w:rsidRDefault="004E1418" w:rsidP="004E1418">
      <w:pPr>
        <w:pStyle w:val="ab"/>
        <w:numPr>
          <w:ilvl w:val="0"/>
          <w:numId w:val="0"/>
        </w:numPr>
        <w:spacing w:before="0" w:line="276" w:lineRule="auto"/>
        <w:jc w:val="center"/>
        <w:rPr>
          <w:rFonts w:ascii="Arial Narrow" w:hAnsi="Arial Narrow" w:cs="Arial"/>
          <w:b/>
          <w:sz w:val="28"/>
          <w:u w:val="single"/>
        </w:rPr>
      </w:pPr>
    </w:p>
    <w:tbl>
      <w:tblPr>
        <w:tblpPr w:leftFromText="141" w:rightFromText="141" w:vertAnchor="text" w:tblpXSpec="center" w:tblpY="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4"/>
        <w:gridCol w:w="1278"/>
        <w:gridCol w:w="4506"/>
      </w:tblGrid>
      <w:tr w:rsidR="004E1418" w:rsidRPr="00124F71" w:rsidTr="00AC5AC5">
        <w:trPr>
          <w:trHeight w:val="510"/>
        </w:trPr>
        <w:tc>
          <w:tcPr>
            <w:tcW w:w="0" w:type="auto"/>
            <w:shd w:val="clear" w:color="auto" w:fill="2F5496" w:themeFill="accent1" w:themeFillShade="BF"/>
          </w:tcPr>
          <w:p w:rsidR="004E1418" w:rsidRPr="00124F71" w:rsidDel="00C9179A" w:rsidRDefault="00AC5AC5" w:rsidP="00715946">
            <w:pPr>
              <w:pStyle w:val="Nadpis2"/>
              <w:keepNext w:val="0"/>
              <w:keepLines w:val="0"/>
              <w:widowControl w:val="0"/>
              <w:jc w:val="left"/>
              <w:rPr>
                <w:rFonts w:ascii="Arial Narrow" w:hAnsi="Arial Narrow" w:cs="Arial"/>
                <w:b w:val="0"/>
                <w:color w:val="FFFFFF" w:themeColor="background1"/>
                <w:sz w:val="24"/>
                <w:szCs w:val="24"/>
              </w:rPr>
            </w:pPr>
            <w:r w:rsidRPr="00124F71">
              <w:rPr>
                <w:rFonts w:ascii="Arial Narrow" w:hAnsi="Arial Narrow" w:cs="Arial"/>
                <w:color w:val="FFFFFF" w:themeColor="background1"/>
                <w:sz w:val="24"/>
                <w:szCs w:val="24"/>
              </w:rPr>
              <w:t>Region</w:t>
            </w:r>
          </w:p>
        </w:tc>
        <w:tc>
          <w:tcPr>
            <w:tcW w:w="0" w:type="auto"/>
            <w:shd w:val="clear" w:color="auto" w:fill="2F5496" w:themeFill="accent1" w:themeFillShade="BF"/>
          </w:tcPr>
          <w:p w:rsidR="004E1418" w:rsidRPr="00124F71" w:rsidRDefault="004E1418" w:rsidP="00715946">
            <w:pPr>
              <w:pStyle w:val="Nadpis2"/>
              <w:keepNext w:val="0"/>
              <w:keepLines w:val="0"/>
              <w:widowControl w:val="0"/>
              <w:jc w:val="left"/>
              <w:rPr>
                <w:rFonts w:ascii="Arial Narrow" w:hAnsi="Arial Narrow" w:cs="Arial"/>
                <w:b w:val="0"/>
                <w:color w:val="FFFFFF" w:themeColor="background1"/>
                <w:sz w:val="24"/>
                <w:szCs w:val="24"/>
              </w:rPr>
            </w:pPr>
            <w:r w:rsidRPr="00124F71">
              <w:rPr>
                <w:rFonts w:ascii="Arial Narrow" w:hAnsi="Arial Narrow" w:cs="Arial"/>
                <w:color w:val="FFFFFF" w:themeColor="background1"/>
                <w:sz w:val="24"/>
                <w:szCs w:val="24"/>
              </w:rPr>
              <w:t xml:space="preserve">      Část VZ</w:t>
            </w:r>
          </w:p>
        </w:tc>
        <w:tc>
          <w:tcPr>
            <w:tcW w:w="0" w:type="auto"/>
            <w:shd w:val="clear" w:color="auto" w:fill="2F5496" w:themeFill="accent1" w:themeFillShade="BF"/>
          </w:tcPr>
          <w:p w:rsidR="004E1418" w:rsidRPr="00124F71" w:rsidRDefault="004E1418" w:rsidP="00715946">
            <w:pPr>
              <w:pStyle w:val="Nadpis2"/>
              <w:keepNext w:val="0"/>
              <w:keepLines w:val="0"/>
              <w:widowControl w:val="0"/>
              <w:jc w:val="left"/>
              <w:rPr>
                <w:rFonts w:ascii="Arial Narrow" w:hAnsi="Arial Narrow" w:cs="Arial"/>
                <w:b w:val="0"/>
                <w:color w:val="FFFFFF" w:themeColor="background1"/>
                <w:sz w:val="24"/>
                <w:szCs w:val="24"/>
              </w:rPr>
            </w:pPr>
            <w:r w:rsidRPr="00124F71">
              <w:rPr>
                <w:rFonts w:ascii="Arial Narrow" w:hAnsi="Arial Narrow" w:cs="Arial"/>
                <w:color w:val="FFFFFF" w:themeColor="background1"/>
                <w:sz w:val="24"/>
                <w:szCs w:val="24"/>
              </w:rPr>
              <w:t>Oblast odpovědného technika RS</w:t>
            </w:r>
          </w:p>
        </w:tc>
      </w:tr>
      <w:tr w:rsidR="004E1418" w:rsidRPr="00124F71" w:rsidTr="0040732C">
        <w:trPr>
          <w:trHeight w:val="510"/>
        </w:trPr>
        <w:tc>
          <w:tcPr>
            <w:tcW w:w="0" w:type="auto"/>
            <w:vAlign w:val="center"/>
          </w:tcPr>
          <w:p w:rsidR="004E1418" w:rsidRPr="00124F71" w:rsidRDefault="004E1418" w:rsidP="00715946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/>
                <w:szCs w:val="24"/>
              </w:rPr>
            </w:pPr>
            <w:r w:rsidRPr="00124F71">
              <w:rPr>
                <w:rFonts w:ascii="Arial Narrow" w:hAnsi="Arial Narrow"/>
                <w:szCs w:val="24"/>
              </w:rPr>
              <w:t>Brno</w:t>
            </w:r>
            <w:r w:rsidR="00AC5AC5" w:rsidRPr="00124F71">
              <w:rPr>
                <w:rFonts w:ascii="Arial Narrow" w:hAnsi="Arial Narrow"/>
                <w:szCs w:val="24"/>
              </w:rPr>
              <w:t xml:space="preserve"> A</w:t>
            </w:r>
          </w:p>
        </w:tc>
        <w:tc>
          <w:tcPr>
            <w:tcW w:w="0" w:type="auto"/>
            <w:vAlign w:val="center"/>
          </w:tcPr>
          <w:p w:rsidR="004E1418" w:rsidRPr="00124F71" w:rsidRDefault="004E1418" w:rsidP="00715946">
            <w:pPr>
              <w:widowControl w:val="0"/>
              <w:spacing w:line="240" w:lineRule="exact"/>
              <w:contextualSpacing/>
              <w:jc w:val="center"/>
              <w:rPr>
                <w:rFonts w:ascii="Arial Narrow" w:hAnsi="Arial Narrow"/>
                <w:szCs w:val="24"/>
              </w:rPr>
            </w:pPr>
            <w:r w:rsidRPr="00124F71">
              <w:rPr>
                <w:rFonts w:ascii="Arial Narrow" w:hAnsi="Arial Narrow"/>
                <w:szCs w:val="24"/>
              </w:rPr>
              <w:t>1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4E1418" w:rsidRPr="00124F71" w:rsidRDefault="004E1418" w:rsidP="00715946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/>
                <w:szCs w:val="24"/>
              </w:rPr>
            </w:pPr>
            <w:r w:rsidRPr="00124F71">
              <w:rPr>
                <w:rFonts w:ascii="Arial Narrow" w:hAnsi="Arial Narrow"/>
                <w:szCs w:val="24"/>
              </w:rPr>
              <w:t>Brno – jih, Brno – jihozápad, Brno – severozápad</w:t>
            </w:r>
          </w:p>
        </w:tc>
      </w:tr>
      <w:tr w:rsidR="004E1418" w:rsidRPr="00124F71" w:rsidTr="0040732C">
        <w:trPr>
          <w:trHeight w:val="510"/>
        </w:trPr>
        <w:tc>
          <w:tcPr>
            <w:tcW w:w="0" w:type="auto"/>
            <w:vAlign w:val="center"/>
          </w:tcPr>
          <w:p w:rsidR="004E1418" w:rsidRPr="00124F71" w:rsidDel="00C9179A" w:rsidRDefault="00AC5AC5" w:rsidP="00715946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/>
                <w:szCs w:val="24"/>
              </w:rPr>
            </w:pPr>
            <w:r w:rsidRPr="00124F71">
              <w:rPr>
                <w:rFonts w:ascii="Arial Narrow" w:hAnsi="Arial Narrow"/>
                <w:szCs w:val="24"/>
              </w:rPr>
              <w:t>Brno B</w:t>
            </w:r>
          </w:p>
        </w:tc>
        <w:tc>
          <w:tcPr>
            <w:tcW w:w="0" w:type="auto"/>
            <w:vAlign w:val="center"/>
          </w:tcPr>
          <w:p w:rsidR="004E1418" w:rsidRPr="00124F71" w:rsidRDefault="004E1418" w:rsidP="00715946">
            <w:pPr>
              <w:widowControl w:val="0"/>
              <w:spacing w:line="240" w:lineRule="exact"/>
              <w:contextualSpacing/>
              <w:jc w:val="center"/>
              <w:rPr>
                <w:rFonts w:ascii="Arial Narrow" w:hAnsi="Arial Narrow"/>
                <w:szCs w:val="24"/>
              </w:rPr>
            </w:pPr>
            <w:r w:rsidRPr="00124F71">
              <w:rPr>
                <w:rFonts w:ascii="Arial Narrow" w:hAnsi="Arial Narrow"/>
                <w:szCs w:val="24"/>
              </w:rPr>
              <w:t>2</w:t>
            </w:r>
          </w:p>
        </w:tc>
        <w:tc>
          <w:tcPr>
            <w:tcW w:w="0" w:type="auto"/>
            <w:shd w:val="clear" w:color="auto" w:fill="48F2F6"/>
            <w:vAlign w:val="center"/>
          </w:tcPr>
          <w:p w:rsidR="004E1418" w:rsidRPr="00124F71" w:rsidRDefault="004E1418" w:rsidP="00715946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/>
                <w:szCs w:val="24"/>
              </w:rPr>
            </w:pPr>
            <w:r w:rsidRPr="00124F71">
              <w:rPr>
                <w:rFonts w:ascii="Arial Narrow" w:hAnsi="Arial Narrow"/>
                <w:szCs w:val="24"/>
              </w:rPr>
              <w:t>Brno – sever, Brno – východ, Brno – jihovýchod</w:t>
            </w:r>
          </w:p>
        </w:tc>
      </w:tr>
      <w:tr w:rsidR="004E1418" w:rsidRPr="00124F71" w:rsidTr="0040732C">
        <w:trPr>
          <w:trHeight w:val="510"/>
        </w:trPr>
        <w:tc>
          <w:tcPr>
            <w:tcW w:w="0" w:type="auto"/>
            <w:vAlign w:val="center"/>
          </w:tcPr>
          <w:p w:rsidR="004E1418" w:rsidRPr="00124F71" w:rsidRDefault="004E1418" w:rsidP="00715946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/>
                <w:szCs w:val="24"/>
              </w:rPr>
            </w:pPr>
            <w:r w:rsidRPr="00124F71">
              <w:rPr>
                <w:rFonts w:ascii="Arial Narrow" w:hAnsi="Arial Narrow"/>
                <w:szCs w:val="24"/>
              </w:rPr>
              <w:t>Hodonín</w:t>
            </w:r>
            <w:r w:rsidR="00AC5AC5" w:rsidRPr="00124F71">
              <w:rPr>
                <w:rFonts w:ascii="Arial Narrow" w:hAnsi="Arial Narrow"/>
                <w:szCs w:val="24"/>
              </w:rPr>
              <w:t xml:space="preserve"> A</w:t>
            </w:r>
          </w:p>
        </w:tc>
        <w:tc>
          <w:tcPr>
            <w:tcW w:w="0" w:type="auto"/>
            <w:vAlign w:val="center"/>
          </w:tcPr>
          <w:p w:rsidR="004E1418" w:rsidRPr="00124F71" w:rsidRDefault="004E1418" w:rsidP="00715946">
            <w:pPr>
              <w:widowControl w:val="0"/>
              <w:spacing w:line="240" w:lineRule="exact"/>
              <w:contextualSpacing/>
              <w:jc w:val="center"/>
              <w:rPr>
                <w:rFonts w:ascii="Arial Narrow" w:hAnsi="Arial Narrow"/>
                <w:szCs w:val="24"/>
              </w:rPr>
            </w:pPr>
            <w:r w:rsidRPr="00124F71">
              <w:rPr>
                <w:rFonts w:ascii="Arial Narrow" w:hAnsi="Arial Narrow"/>
                <w:szCs w:val="24"/>
              </w:rPr>
              <w:t>3</w:t>
            </w:r>
          </w:p>
        </w:tc>
        <w:tc>
          <w:tcPr>
            <w:tcW w:w="0" w:type="auto"/>
            <w:shd w:val="clear" w:color="auto" w:fill="8EE133"/>
            <w:vAlign w:val="center"/>
          </w:tcPr>
          <w:p w:rsidR="004E1418" w:rsidRPr="00124F71" w:rsidRDefault="004E1418" w:rsidP="00715946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/>
                <w:szCs w:val="24"/>
              </w:rPr>
            </w:pPr>
            <w:r w:rsidRPr="00124F71">
              <w:rPr>
                <w:rFonts w:ascii="Arial Narrow" w:hAnsi="Arial Narrow"/>
                <w:szCs w:val="24"/>
              </w:rPr>
              <w:t xml:space="preserve">Břeclav, </w:t>
            </w:r>
            <w:r w:rsidR="0040732C" w:rsidRPr="00124F71">
              <w:rPr>
                <w:rFonts w:ascii="Arial Narrow" w:hAnsi="Arial Narrow"/>
                <w:sz w:val="22"/>
                <w:szCs w:val="22"/>
              </w:rPr>
              <w:t>Ž</w:t>
            </w:r>
            <w:r w:rsidRPr="00124F71">
              <w:rPr>
                <w:rFonts w:ascii="Arial Narrow" w:hAnsi="Arial Narrow"/>
                <w:szCs w:val="24"/>
              </w:rPr>
              <w:t>idlochovice</w:t>
            </w:r>
          </w:p>
        </w:tc>
      </w:tr>
      <w:tr w:rsidR="004E1418" w:rsidRPr="00124F71" w:rsidTr="006E6888">
        <w:trPr>
          <w:trHeight w:val="510"/>
        </w:trPr>
        <w:tc>
          <w:tcPr>
            <w:tcW w:w="0" w:type="auto"/>
            <w:vAlign w:val="center"/>
          </w:tcPr>
          <w:p w:rsidR="004E1418" w:rsidRPr="00124F71" w:rsidRDefault="00AC5AC5" w:rsidP="00715946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/>
                <w:szCs w:val="24"/>
              </w:rPr>
            </w:pPr>
            <w:r w:rsidRPr="00124F71">
              <w:rPr>
                <w:rFonts w:ascii="Arial Narrow" w:hAnsi="Arial Narrow"/>
                <w:szCs w:val="24"/>
              </w:rPr>
              <w:t>Hodonín B</w:t>
            </w:r>
          </w:p>
        </w:tc>
        <w:tc>
          <w:tcPr>
            <w:tcW w:w="0" w:type="auto"/>
            <w:vAlign w:val="center"/>
          </w:tcPr>
          <w:p w:rsidR="004E1418" w:rsidRPr="00124F71" w:rsidRDefault="004E1418" w:rsidP="00715946">
            <w:pPr>
              <w:widowControl w:val="0"/>
              <w:spacing w:line="240" w:lineRule="exact"/>
              <w:contextualSpacing/>
              <w:jc w:val="center"/>
              <w:rPr>
                <w:rFonts w:ascii="Arial Narrow" w:hAnsi="Arial Narrow"/>
                <w:szCs w:val="24"/>
              </w:rPr>
            </w:pPr>
            <w:r w:rsidRPr="00124F71">
              <w:rPr>
                <w:rFonts w:ascii="Arial Narrow" w:hAnsi="Arial Narrow"/>
                <w:szCs w:val="24"/>
              </w:rPr>
              <w:t>4</w:t>
            </w:r>
          </w:p>
        </w:tc>
        <w:tc>
          <w:tcPr>
            <w:tcW w:w="0" w:type="auto"/>
            <w:shd w:val="clear" w:color="auto" w:fill="FFC000"/>
            <w:vAlign w:val="center"/>
          </w:tcPr>
          <w:p w:rsidR="004E1418" w:rsidRPr="00124F71" w:rsidRDefault="004E1418" w:rsidP="00715946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/>
                <w:szCs w:val="24"/>
              </w:rPr>
            </w:pPr>
            <w:r w:rsidRPr="00124F71">
              <w:rPr>
                <w:rFonts w:ascii="Arial Narrow" w:hAnsi="Arial Narrow"/>
                <w:szCs w:val="24"/>
              </w:rPr>
              <w:t>Hodonín, Kyjov</w:t>
            </w:r>
          </w:p>
        </w:tc>
      </w:tr>
      <w:tr w:rsidR="004E1418" w:rsidRPr="00124F71" w:rsidTr="002A2500">
        <w:trPr>
          <w:trHeight w:val="510"/>
        </w:trPr>
        <w:tc>
          <w:tcPr>
            <w:tcW w:w="0" w:type="auto"/>
            <w:vAlign w:val="center"/>
          </w:tcPr>
          <w:p w:rsidR="004E1418" w:rsidRPr="00124F71" w:rsidRDefault="004E1418" w:rsidP="00715946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/>
                <w:szCs w:val="24"/>
              </w:rPr>
            </w:pPr>
            <w:r w:rsidRPr="00124F71">
              <w:rPr>
                <w:rFonts w:ascii="Arial Narrow" w:hAnsi="Arial Narrow"/>
                <w:szCs w:val="24"/>
              </w:rPr>
              <w:t>Otrokovice</w:t>
            </w:r>
            <w:r w:rsidR="00AC5AC5" w:rsidRPr="00124F71">
              <w:rPr>
                <w:rFonts w:ascii="Arial Narrow" w:hAnsi="Arial Narrow"/>
                <w:szCs w:val="24"/>
              </w:rPr>
              <w:t xml:space="preserve"> A</w:t>
            </w:r>
          </w:p>
        </w:tc>
        <w:tc>
          <w:tcPr>
            <w:tcW w:w="0" w:type="auto"/>
            <w:vAlign w:val="center"/>
          </w:tcPr>
          <w:p w:rsidR="004E1418" w:rsidRPr="00124F71" w:rsidRDefault="004E1418" w:rsidP="00715946">
            <w:pPr>
              <w:widowControl w:val="0"/>
              <w:spacing w:line="240" w:lineRule="exact"/>
              <w:contextualSpacing/>
              <w:jc w:val="center"/>
              <w:rPr>
                <w:rFonts w:ascii="Arial Narrow" w:hAnsi="Arial Narrow"/>
                <w:szCs w:val="24"/>
              </w:rPr>
            </w:pPr>
            <w:r w:rsidRPr="00124F71">
              <w:rPr>
                <w:rFonts w:ascii="Arial Narrow" w:hAnsi="Arial Narrow"/>
                <w:szCs w:val="24"/>
              </w:rPr>
              <w:t>5</w:t>
            </w:r>
          </w:p>
        </w:tc>
        <w:tc>
          <w:tcPr>
            <w:tcW w:w="0" w:type="auto"/>
            <w:shd w:val="clear" w:color="auto" w:fill="66FF33"/>
            <w:vAlign w:val="center"/>
          </w:tcPr>
          <w:p w:rsidR="004E1418" w:rsidRPr="00124F71" w:rsidRDefault="002A2500" w:rsidP="00715946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/>
                <w:szCs w:val="24"/>
              </w:rPr>
            </w:pPr>
            <w:r w:rsidRPr="00124F71">
              <w:rPr>
                <w:rFonts w:ascii="Arial Narrow" w:hAnsi="Arial Narrow"/>
                <w:szCs w:val="24"/>
              </w:rPr>
              <w:t>Fryšták, Zlín</w:t>
            </w:r>
          </w:p>
        </w:tc>
      </w:tr>
      <w:tr w:rsidR="004E1418" w:rsidRPr="00124F71" w:rsidTr="00715946">
        <w:trPr>
          <w:trHeight w:val="510"/>
        </w:trPr>
        <w:tc>
          <w:tcPr>
            <w:tcW w:w="0" w:type="auto"/>
            <w:vAlign w:val="center"/>
          </w:tcPr>
          <w:p w:rsidR="004E1418" w:rsidRPr="00124F71" w:rsidRDefault="00AC5AC5" w:rsidP="00715946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/>
                <w:szCs w:val="24"/>
              </w:rPr>
            </w:pPr>
            <w:r w:rsidRPr="00124F71">
              <w:rPr>
                <w:rFonts w:ascii="Arial Narrow" w:hAnsi="Arial Narrow"/>
                <w:szCs w:val="24"/>
              </w:rPr>
              <w:t>Otrokovice B</w:t>
            </w:r>
          </w:p>
        </w:tc>
        <w:tc>
          <w:tcPr>
            <w:tcW w:w="0" w:type="auto"/>
            <w:vAlign w:val="center"/>
          </w:tcPr>
          <w:p w:rsidR="004E1418" w:rsidRPr="00124F71" w:rsidRDefault="004E1418" w:rsidP="00715946">
            <w:pPr>
              <w:widowControl w:val="0"/>
              <w:spacing w:line="240" w:lineRule="exact"/>
              <w:contextualSpacing/>
              <w:jc w:val="center"/>
              <w:rPr>
                <w:rFonts w:ascii="Arial Narrow" w:hAnsi="Arial Narrow"/>
                <w:szCs w:val="24"/>
              </w:rPr>
            </w:pPr>
            <w:r w:rsidRPr="00124F71">
              <w:rPr>
                <w:rFonts w:ascii="Arial Narrow" w:hAnsi="Arial Narrow"/>
                <w:szCs w:val="24"/>
              </w:rPr>
              <w:t>6</w:t>
            </w:r>
          </w:p>
        </w:tc>
        <w:tc>
          <w:tcPr>
            <w:tcW w:w="0" w:type="auto"/>
            <w:shd w:val="clear" w:color="auto" w:fill="FD7FF7"/>
            <w:vAlign w:val="center"/>
          </w:tcPr>
          <w:p w:rsidR="004E1418" w:rsidRPr="00124F71" w:rsidRDefault="002A2500" w:rsidP="00715946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/>
                <w:szCs w:val="24"/>
              </w:rPr>
            </w:pPr>
            <w:r w:rsidRPr="00124F71">
              <w:rPr>
                <w:rFonts w:ascii="Arial Narrow" w:hAnsi="Arial Narrow"/>
                <w:szCs w:val="24"/>
              </w:rPr>
              <w:t>Otrokovice, Chřiby, Kroměříž</w:t>
            </w:r>
          </w:p>
        </w:tc>
      </w:tr>
      <w:tr w:rsidR="004E1418" w:rsidRPr="00124F71" w:rsidTr="0040732C">
        <w:trPr>
          <w:trHeight w:val="510"/>
        </w:trPr>
        <w:tc>
          <w:tcPr>
            <w:tcW w:w="0" w:type="auto"/>
            <w:vAlign w:val="center"/>
          </w:tcPr>
          <w:p w:rsidR="004E1418" w:rsidRPr="00124F71" w:rsidRDefault="00AC5AC5" w:rsidP="00715946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/>
                <w:szCs w:val="24"/>
              </w:rPr>
            </w:pPr>
            <w:r w:rsidRPr="00124F71">
              <w:rPr>
                <w:rFonts w:ascii="Arial Narrow" w:hAnsi="Arial Narrow"/>
                <w:szCs w:val="24"/>
              </w:rPr>
              <w:t>Otrokovice C</w:t>
            </w:r>
          </w:p>
        </w:tc>
        <w:tc>
          <w:tcPr>
            <w:tcW w:w="0" w:type="auto"/>
            <w:vAlign w:val="center"/>
          </w:tcPr>
          <w:p w:rsidR="004E1418" w:rsidRPr="00124F71" w:rsidRDefault="004E1418" w:rsidP="00715946">
            <w:pPr>
              <w:widowControl w:val="0"/>
              <w:spacing w:line="240" w:lineRule="exact"/>
              <w:contextualSpacing/>
              <w:jc w:val="center"/>
              <w:rPr>
                <w:rFonts w:ascii="Arial Narrow" w:hAnsi="Arial Narrow"/>
                <w:szCs w:val="24"/>
              </w:rPr>
            </w:pPr>
            <w:r w:rsidRPr="00124F71">
              <w:rPr>
                <w:rFonts w:ascii="Arial Narrow" w:hAnsi="Arial Narrow"/>
                <w:szCs w:val="24"/>
              </w:rPr>
              <w:t>7</w:t>
            </w:r>
          </w:p>
        </w:tc>
        <w:tc>
          <w:tcPr>
            <w:tcW w:w="0" w:type="auto"/>
            <w:shd w:val="clear" w:color="auto" w:fill="FFFF00"/>
            <w:vAlign w:val="center"/>
          </w:tcPr>
          <w:p w:rsidR="004E1418" w:rsidRPr="00124F71" w:rsidRDefault="002A2500" w:rsidP="00715946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/>
                <w:szCs w:val="24"/>
              </w:rPr>
            </w:pPr>
            <w:r w:rsidRPr="00124F71">
              <w:rPr>
                <w:rFonts w:ascii="Arial Narrow" w:hAnsi="Arial Narrow"/>
                <w:szCs w:val="24"/>
              </w:rPr>
              <w:t>Uherské Hradiště</w:t>
            </w:r>
            <w:r w:rsidR="004E1418" w:rsidRPr="00124F71">
              <w:rPr>
                <w:rFonts w:ascii="Arial Narrow" w:hAnsi="Arial Narrow"/>
                <w:szCs w:val="24"/>
                <w:highlight w:val="yellow"/>
              </w:rPr>
              <w:t xml:space="preserve">, </w:t>
            </w:r>
            <w:r w:rsidRPr="00124F71">
              <w:rPr>
                <w:rFonts w:ascii="Arial Narrow" w:hAnsi="Arial Narrow"/>
                <w:szCs w:val="24"/>
                <w:highlight w:val="yellow"/>
              </w:rPr>
              <w:t>Slavičín</w:t>
            </w:r>
          </w:p>
        </w:tc>
      </w:tr>
    </w:tbl>
    <w:p w:rsidR="004E1418" w:rsidRPr="00124F71" w:rsidRDefault="004E1418" w:rsidP="004E1418">
      <w:pPr>
        <w:spacing w:line="276" w:lineRule="auto"/>
        <w:jc w:val="left"/>
        <w:rPr>
          <w:rFonts w:ascii="Arial Narrow" w:hAnsi="Arial Narrow" w:cs="Arial"/>
          <w:szCs w:val="24"/>
        </w:rPr>
      </w:pPr>
    </w:p>
    <w:p w:rsidR="004E1418" w:rsidRPr="00124F71" w:rsidRDefault="004E1418" w:rsidP="004E1418">
      <w:pPr>
        <w:spacing w:line="276" w:lineRule="auto"/>
        <w:jc w:val="left"/>
        <w:rPr>
          <w:rFonts w:ascii="Arial Narrow" w:hAnsi="Arial Narrow" w:cs="Arial"/>
          <w:szCs w:val="24"/>
        </w:rPr>
      </w:pPr>
    </w:p>
    <w:p w:rsidR="004E1418" w:rsidRPr="00124F71" w:rsidRDefault="00124F71" w:rsidP="004E1418">
      <w:pPr>
        <w:spacing w:line="276" w:lineRule="auto"/>
        <w:jc w:val="left"/>
        <w:rPr>
          <w:rFonts w:ascii="Arial Narrow" w:hAnsi="Arial Narrow" w:cs="Arial"/>
          <w:szCs w:val="24"/>
        </w:rPr>
      </w:pPr>
      <w:r w:rsidRPr="00124F71">
        <w:rPr>
          <w:rFonts w:ascii="Arial Narrow" w:hAnsi="Arial Narrow" w:cs="Arial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9pt;height:355.5pt">
            <v:imagedata r:id="rId5" o:title=""/>
          </v:shape>
        </w:pict>
      </w:r>
    </w:p>
    <w:p w:rsidR="004E1418" w:rsidRPr="00124F71" w:rsidRDefault="004E1418" w:rsidP="004E1418">
      <w:pPr>
        <w:spacing w:line="276" w:lineRule="auto"/>
        <w:jc w:val="left"/>
        <w:rPr>
          <w:rFonts w:ascii="Arial Narrow" w:hAnsi="Arial Narrow" w:cs="Arial"/>
          <w:szCs w:val="24"/>
        </w:rPr>
      </w:pPr>
    </w:p>
    <w:p w:rsidR="00124F71" w:rsidRDefault="00124F71" w:rsidP="004E1418">
      <w:pPr>
        <w:spacing w:line="276" w:lineRule="auto"/>
        <w:jc w:val="left"/>
        <w:rPr>
          <w:rFonts w:ascii="Arial Narrow" w:hAnsi="Arial Narrow"/>
          <w:szCs w:val="24"/>
        </w:rPr>
      </w:pPr>
    </w:p>
    <w:p w:rsidR="00124F71" w:rsidRDefault="00124F71" w:rsidP="004E1418">
      <w:pPr>
        <w:spacing w:line="276" w:lineRule="auto"/>
        <w:jc w:val="left"/>
        <w:rPr>
          <w:rFonts w:ascii="Arial Narrow" w:hAnsi="Arial Narrow"/>
          <w:szCs w:val="24"/>
        </w:rPr>
      </w:pPr>
    </w:p>
    <w:p w:rsidR="00124F71" w:rsidRDefault="00124F71" w:rsidP="004E1418">
      <w:pPr>
        <w:spacing w:line="276" w:lineRule="auto"/>
        <w:jc w:val="left"/>
        <w:rPr>
          <w:rFonts w:ascii="Arial Narrow" w:hAnsi="Arial Narrow"/>
          <w:szCs w:val="24"/>
        </w:rPr>
      </w:pPr>
    </w:p>
    <w:p w:rsidR="004E1418" w:rsidRPr="00124F71" w:rsidRDefault="004E1418" w:rsidP="004E1418">
      <w:pPr>
        <w:spacing w:line="276" w:lineRule="auto"/>
        <w:jc w:val="left"/>
        <w:rPr>
          <w:rFonts w:ascii="Arial Narrow" w:hAnsi="Arial Narrow"/>
          <w:szCs w:val="24"/>
        </w:rPr>
      </w:pPr>
      <w:bookmarkStart w:id="0" w:name="_GoBack"/>
      <w:bookmarkEnd w:id="0"/>
      <w:r w:rsidRPr="00124F71">
        <w:rPr>
          <w:rFonts w:ascii="Arial Narrow" w:hAnsi="Arial Narrow"/>
          <w:szCs w:val="24"/>
        </w:rPr>
        <w:lastRenderedPageBreak/>
        <w:t>Objednatel upozorňuje na to, že toto rozdělení oblastí je pouze orientační, přesné hranice jednotlivých oblastí jsou zakresleny v </w:t>
      </w:r>
      <w:proofErr w:type="spellStart"/>
      <w:r w:rsidRPr="00124F71">
        <w:rPr>
          <w:rFonts w:ascii="Arial Narrow" w:hAnsi="Arial Narrow"/>
          <w:szCs w:val="24"/>
        </w:rPr>
        <w:t>Geoportále</w:t>
      </w:r>
      <w:proofErr w:type="spellEnd"/>
      <w:r w:rsidRPr="00124F71">
        <w:rPr>
          <w:rFonts w:ascii="Arial Narrow" w:hAnsi="Arial Narrow"/>
          <w:szCs w:val="24"/>
        </w:rPr>
        <w:t xml:space="preserve">. </w:t>
      </w:r>
    </w:p>
    <w:p w:rsidR="004E1418" w:rsidRPr="00124F71" w:rsidRDefault="004E1418" w:rsidP="004E1418">
      <w:pPr>
        <w:spacing w:line="276" w:lineRule="auto"/>
        <w:jc w:val="left"/>
        <w:rPr>
          <w:rFonts w:ascii="Arial Narrow" w:hAnsi="Arial Narrow"/>
          <w:szCs w:val="24"/>
        </w:rPr>
      </w:pPr>
    </w:p>
    <w:p w:rsidR="004E1418" w:rsidRPr="00124F71" w:rsidRDefault="004E1418" w:rsidP="004E1418">
      <w:pPr>
        <w:spacing w:line="276" w:lineRule="auto"/>
        <w:jc w:val="left"/>
        <w:rPr>
          <w:rFonts w:ascii="Arial Narrow" w:hAnsi="Arial Narrow"/>
          <w:szCs w:val="24"/>
        </w:rPr>
      </w:pPr>
      <w:r w:rsidRPr="00124F71">
        <w:rPr>
          <w:rFonts w:ascii="Arial Narrow" w:hAnsi="Arial Narrow"/>
          <w:szCs w:val="24"/>
        </w:rPr>
        <w:t>Předmět plnění se vztahuje i na úseky, které:</w:t>
      </w:r>
    </w:p>
    <w:p w:rsidR="004E1418" w:rsidRPr="00124F71" w:rsidRDefault="004E1418" w:rsidP="004E1418">
      <w:pPr>
        <w:pStyle w:val="Odstavecseseznamem"/>
        <w:numPr>
          <w:ilvl w:val="0"/>
          <w:numId w:val="2"/>
        </w:numPr>
        <w:rPr>
          <w:rFonts w:ascii="Arial Narrow" w:hAnsi="Arial Narrow"/>
          <w:szCs w:val="24"/>
        </w:rPr>
      </w:pPr>
      <w:r w:rsidRPr="00124F71">
        <w:rPr>
          <w:rFonts w:ascii="Arial Narrow" w:hAnsi="Arial Narrow"/>
          <w:szCs w:val="24"/>
        </w:rPr>
        <w:t>bezprostředně navazují na území oblasti, jež je dle čl. 2 Smlouvy místem plnění, a</w:t>
      </w:r>
    </w:p>
    <w:p w:rsidR="004E1418" w:rsidRPr="00124F71" w:rsidRDefault="004E1418" w:rsidP="004E1418">
      <w:pPr>
        <w:pStyle w:val="Odstavecseseznamem"/>
        <w:numPr>
          <w:ilvl w:val="0"/>
          <w:numId w:val="2"/>
        </w:numPr>
        <w:spacing w:line="276" w:lineRule="auto"/>
        <w:jc w:val="left"/>
        <w:rPr>
          <w:rFonts w:ascii="Arial Narrow" w:hAnsi="Arial Narrow"/>
          <w:szCs w:val="24"/>
        </w:rPr>
      </w:pPr>
      <w:r w:rsidRPr="00124F71">
        <w:rPr>
          <w:rFonts w:ascii="Arial Narrow" w:hAnsi="Arial Narrow"/>
          <w:szCs w:val="24"/>
        </w:rPr>
        <w:t>jsou zároveň dle údajů v </w:t>
      </w:r>
      <w:proofErr w:type="spellStart"/>
      <w:r w:rsidRPr="00124F71">
        <w:rPr>
          <w:rFonts w:ascii="Arial Narrow" w:hAnsi="Arial Narrow"/>
          <w:szCs w:val="24"/>
        </w:rPr>
        <w:t>Geoportále</w:t>
      </w:r>
      <w:proofErr w:type="spellEnd"/>
      <w:r w:rsidRPr="00124F71">
        <w:rPr>
          <w:rFonts w:ascii="Arial Narrow" w:hAnsi="Arial Narrow"/>
          <w:szCs w:val="24"/>
        </w:rPr>
        <w:t xml:space="preserve"> součástí takovéto oblasti, ale jsou v </w:t>
      </w:r>
      <w:proofErr w:type="spellStart"/>
      <w:r w:rsidRPr="00124F71">
        <w:rPr>
          <w:rFonts w:ascii="Arial Narrow" w:hAnsi="Arial Narrow"/>
          <w:szCs w:val="24"/>
        </w:rPr>
        <w:t>Geoportále</w:t>
      </w:r>
      <w:proofErr w:type="spellEnd"/>
      <w:r w:rsidRPr="00124F71">
        <w:rPr>
          <w:rFonts w:ascii="Arial Narrow" w:hAnsi="Arial Narrow"/>
          <w:szCs w:val="24"/>
        </w:rPr>
        <w:t xml:space="preserve"> zakresleny mimo území této oblasti. </w:t>
      </w:r>
    </w:p>
    <w:p w:rsidR="004E1418" w:rsidRDefault="004E1418" w:rsidP="004E1418">
      <w:pPr>
        <w:pStyle w:val="Odstavecseseznamem"/>
        <w:spacing w:line="276" w:lineRule="auto"/>
        <w:jc w:val="left"/>
        <w:rPr>
          <w:szCs w:val="24"/>
        </w:rPr>
      </w:pPr>
    </w:p>
    <w:p w:rsidR="004E1418" w:rsidRDefault="004E1418" w:rsidP="004E1418">
      <w:pPr>
        <w:pStyle w:val="Odstavecseseznamem"/>
        <w:rPr>
          <w:b/>
          <w:sz w:val="28"/>
        </w:rPr>
      </w:pPr>
    </w:p>
    <w:p w:rsidR="004E1418" w:rsidRDefault="004E1418" w:rsidP="004E1418">
      <w:pPr>
        <w:pStyle w:val="Odstavecseseznamem"/>
        <w:rPr>
          <w:b/>
          <w:sz w:val="28"/>
        </w:rPr>
      </w:pPr>
    </w:p>
    <w:sectPr w:rsidR="004E14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B00E9B"/>
    <w:multiLevelType w:val="hybridMultilevel"/>
    <w:tmpl w:val="006CAC00"/>
    <w:lvl w:ilvl="0" w:tplc="5186D326">
      <w:start w:val="1"/>
      <w:numFmt w:val="lowerLetter"/>
      <w:pStyle w:val="ab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4856C4"/>
    <w:multiLevelType w:val="hybridMultilevel"/>
    <w:tmpl w:val="04E2D0BA"/>
    <w:lvl w:ilvl="0" w:tplc="172429EE">
      <w:start w:val="2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418"/>
    <w:rsid w:val="00124F71"/>
    <w:rsid w:val="002A2500"/>
    <w:rsid w:val="0040732C"/>
    <w:rsid w:val="004E1418"/>
    <w:rsid w:val="006E6888"/>
    <w:rsid w:val="00715946"/>
    <w:rsid w:val="007962B5"/>
    <w:rsid w:val="00941BE6"/>
    <w:rsid w:val="00AC5AC5"/>
    <w:rsid w:val="00B5268C"/>
    <w:rsid w:val="00C75CDC"/>
    <w:rsid w:val="00CC50E3"/>
    <w:rsid w:val="00D16C31"/>
    <w:rsid w:val="00FB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64AA9C6"/>
  <w15:chartTrackingRefBased/>
  <w15:docId w15:val="{05A3110A-5C7A-44DA-8AF7-123142A16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E1418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E14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semiHidden/>
    <w:rsid w:val="004E141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cs-CZ"/>
    </w:rPr>
  </w:style>
  <w:style w:type="paragraph" w:customStyle="1" w:styleId="ab">
    <w:name w:val="a)b)"/>
    <w:basedOn w:val="Normln"/>
    <w:link w:val="abChar"/>
    <w:qFormat/>
    <w:rsid w:val="004E1418"/>
    <w:pPr>
      <w:numPr>
        <w:numId w:val="1"/>
      </w:numPr>
      <w:spacing w:before="200" w:after="120" w:line="360" w:lineRule="auto"/>
      <w:outlineLvl w:val="1"/>
    </w:pPr>
  </w:style>
  <w:style w:type="character" w:customStyle="1" w:styleId="abChar">
    <w:name w:val="a)b) Char"/>
    <w:basedOn w:val="Standardnpsmoodstavce"/>
    <w:link w:val="ab"/>
    <w:rsid w:val="004E1418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E1418"/>
    <w:pPr>
      <w:ind w:left="720"/>
      <w:contextualSpacing/>
    </w:pPr>
  </w:style>
  <w:style w:type="paragraph" w:customStyle="1" w:styleId="Normln0">
    <w:name w:val="Normální~"/>
    <w:basedOn w:val="Normln"/>
    <w:rsid w:val="004E1418"/>
    <w:pPr>
      <w:widowControl w:val="0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Adamík, Drahoslav</dc:creator>
  <cp:keywords/>
  <dc:description/>
  <cp:lastModifiedBy>Popelková, Lenka</cp:lastModifiedBy>
  <cp:revision>10</cp:revision>
  <dcterms:created xsi:type="dcterms:W3CDTF">2019-04-15T10:34:00Z</dcterms:created>
  <dcterms:modified xsi:type="dcterms:W3CDTF">2019-05-20T11:58:00Z</dcterms:modified>
</cp:coreProperties>
</file>