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223A5" w14:textId="77777777"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2F4E44B6"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68AED6CD" w14:textId="77777777" w:rsidR="002E1F3C" w:rsidRPr="00DA2C52" w:rsidRDefault="002E1F3C" w:rsidP="002E1F3C">
      <w:pPr>
        <w:spacing w:line="280" w:lineRule="atLeast"/>
        <w:rPr>
          <w:rFonts w:cs="Arial"/>
          <w:szCs w:val="20"/>
        </w:rPr>
      </w:pPr>
    </w:p>
    <w:p w14:paraId="16736AC4" w14:textId="77777777" w:rsidR="002E1F3C" w:rsidRPr="00DA2C52" w:rsidRDefault="002E1F3C" w:rsidP="002E1F3C">
      <w:pPr>
        <w:spacing w:line="280" w:lineRule="atLeast"/>
        <w:rPr>
          <w:rFonts w:cs="Arial"/>
          <w:szCs w:val="20"/>
        </w:rPr>
      </w:pPr>
    </w:p>
    <w:p w14:paraId="64D39115" w14:textId="77777777" w:rsidR="004E39B3" w:rsidRDefault="004E39B3" w:rsidP="002E1F3C">
      <w:pPr>
        <w:spacing w:line="280" w:lineRule="atLeast"/>
        <w:jc w:val="center"/>
        <w:rPr>
          <w:rFonts w:cs="Arial"/>
          <w:b/>
          <w:szCs w:val="20"/>
        </w:rPr>
      </w:pPr>
    </w:p>
    <w:p w14:paraId="2371AF18"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B56E4BD" w14:textId="77777777" w:rsidR="002E1F3C" w:rsidRPr="00DA2C52" w:rsidRDefault="002E1F3C" w:rsidP="002E1F3C">
      <w:pPr>
        <w:spacing w:line="280" w:lineRule="atLeast"/>
        <w:rPr>
          <w:rFonts w:cs="Arial"/>
          <w:szCs w:val="20"/>
        </w:rPr>
      </w:pPr>
    </w:p>
    <w:p w14:paraId="2F9209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107A510B" w14:textId="77777777" w:rsidR="002E1F3C" w:rsidRPr="00DA2C52" w:rsidRDefault="00602F82" w:rsidP="002E1F3C">
      <w:pPr>
        <w:spacing w:line="280" w:lineRule="atLeast"/>
        <w:rPr>
          <w:b/>
          <w:szCs w:val="20"/>
        </w:rPr>
      </w:pPr>
      <w:proofErr w:type="gramStart"/>
      <w:r>
        <w:rPr>
          <w:rFonts w:cs="Arial"/>
          <w:b/>
          <w:bCs/>
          <w:iCs/>
          <w:szCs w:val="20"/>
        </w:rPr>
        <w:t>EG.D</w:t>
      </w:r>
      <w:proofErr w:type="gramEnd"/>
      <w:r w:rsidR="002E1F3C">
        <w:rPr>
          <w:rFonts w:cs="Arial"/>
          <w:b/>
          <w:bCs/>
          <w:iCs/>
          <w:szCs w:val="20"/>
        </w:rPr>
        <w:t>, a.s.</w:t>
      </w:r>
    </w:p>
    <w:p w14:paraId="3F83D695" w14:textId="77777777" w:rsidR="002E1F3C" w:rsidRPr="00DA2C52" w:rsidRDefault="002E1F3C" w:rsidP="002E1F3C">
      <w:pPr>
        <w:spacing w:line="280" w:lineRule="atLeast"/>
        <w:rPr>
          <w:szCs w:val="20"/>
        </w:rPr>
      </w:pPr>
    </w:p>
    <w:p w14:paraId="3FCBE5D3" w14:textId="77777777" w:rsidR="004E1A67" w:rsidRPr="00C42C9B" w:rsidRDefault="004E1A67" w:rsidP="004E1A67">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0C3CA560" w14:textId="77777777" w:rsidR="004E1A67" w:rsidRPr="00DA2C52" w:rsidRDefault="004E1A67" w:rsidP="004E1A67">
      <w:pPr>
        <w:spacing w:line="280" w:lineRule="atLeast"/>
        <w:rPr>
          <w:szCs w:val="20"/>
        </w:rPr>
      </w:pPr>
      <w:r>
        <w:rPr>
          <w:szCs w:val="20"/>
        </w:rPr>
        <w:t>Z</w:t>
      </w:r>
      <w:r w:rsidRPr="00DA2C52">
        <w:rPr>
          <w:szCs w:val="20"/>
        </w:rPr>
        <w:t xml:space="preserve">astoupená: </w:t>
      </w:r>
      <w:r>
        <w:rPr>
          <w:szCs w:val="20"/>
        </w:rPr>
        <w:t xml:space="preserve">Ing. Zdeňkem Bauerem, předsedou představenstva a </w:t>
      </w:r>
      <w:bookmarkStart w:id="0" w:name="_Hlk70322227"/>
      <w:r>
        <w:rPr>
          <w:szCs w:val="20"/>
        </w:rPr>
        <w:t>Ing. Pavlem Čadou, Ph.D.</w:t>
      </w:r>
      <w:bookmarkEnd w:id="0"/>
      <w:r>
        <w:rPr>
          <w:szCs w:val="20"/>
        </w:rPr>
        <w:t>, místopředsedou představenstva</w:t>
      </w:r>
    </w:p>
    <w:p w14:paraId="0DA0FF90" w14:textId="77777777" w:rsidR="004E1A67" w:rsidRPr="00DA2C52" w:rsidRDefault="004E1A67" w:rsidP="004E1A67">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7478E6D0" w14:textId="77777777" w:rsidR="004E1A67" w:rsidRDefault="004E1A67" w:rsidP="004E1A67">
      <w:pPr>
        <w:tabs>
          <w:tab w:val="left" w:pos="2160"/>
        </w:tabs>
        <w:spacing w:line="280" w:lineRule="atLeast"/>
        <w:rPr>
          <w:szCs w:val="20"/>
        </w:rPr>
      </w:pPr>
      <w:r>
        <w:rPr>
          <w:szCs w:val="20"/>
        </w:rPr>
        <w:t>DIČ: CZ28085400</w:t>
      </w:r>
    </w:p>
    <w:p w14:paraId="5D3BBFE8" w14:textId="77777777" w:rsidR="004E1A67" w:rsidRDefault="004E1A67" w:rsidP="004E1A67">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583E1B58" w14:textId="77777777" w:rsidR="004E1A67" w:rsidRDefault="004E1A67" w:rsidP="004E1A67">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61ABE6AB" w14:textId="77777777" w:rsidR="002E1F3C" w:rsidRPr="00DA2C52" w:rsidRDefault="002E1F3C" w:rsidP="002E1F3C">
      <w:pPr>
        <w:tabs>
          <w:tab w:val="left" w:pos="2160"/>
        </w:tabs>
        <w:spacing w:line="280" w:lineRule="atLeast"/>
        <w:rPr>
          <w:b/>
          <w:bCs/>
          <w:szCs w:val="20"/>
        </w:rPr>
      </w:pPr>
      <w:r w:rsidRPr="00DA2C52">
        <w:rPr>
          <w:szCs w:val="20"/>
        </w:rPr>
        <w:tab/>
      </w:r>
    </w:p>
    <w:p w14:paraId="1ABD16F3" w14:textId="77777777" w:rsidR="002E1F3C" w:rsidRPr="00DA2C52" w:rsidRDefault="002E1F3C" w:rsidP="002E1F3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004E39B3">
        <w:rPr>
          <w:b/>
          <w:szCs w:val="20"/>
        </w:rPr>
        <w:t xml:space="preserve"> </w:t>
      </w:r>
      <w:r w:rsidR="004E39B3" w:rsidRPr="004E39B3">
        <w:rPr>
          <w:szCs w:val="20"/>
        </w:rPr>
        <w:t>nebo</w:t>
      </w:r>
      <w:r w:rsidR="004E39B3">
        <w:rPr>
          <w:b/>
          <w:szCs w:val="20"/>
        </w:rPr>
        <w:t xml:space="preserve"> „zadavatel“</w:t>
      </w:r>
      <w:r w:rsidRPr="00DA2C52">
        <w:rPr>
          <w:szCs w:val="20"/>
        </w:rPr>
        <w:t>)</w:t>
      </w:r>
    </w:p>
    <w:p w14:paraId="6326202C" w14:textId="77777777" w:rsidR="002E1F3C" w:rsidRPr="00DA2C52" w:rsidRDefault="002E1F3C" w:rsidP="002E1F3C">
      <w:pPr>
        <w:spacing w:line="280" w:lineRule="atLeast"/>
        <w:rPr>
          <w:rFonts w:cs="Arial"/>
          <w:szCs w:val="20"/>
        </w:rPr>
      </w:pPr>
    </w:p>
    <w:p w14:paraId="48AD2528" w14:textId="77777777" w:rsidR="002E1F3C" w:rsidRPr="00DA2C52" w:rsidRDefault="002E1F3C" w:rsidP="002E1F3C">
      <w:pPr>
        <w:spacing w:line="280" w:lineRule="atLeast"/>
        <w:rPr>
          <w:rFonts w:cs="Arial"/>
          <w:szCs w:val="20"/>
        </w:rPr>
      </w:pPr>
      <w:r w:rsidRPr="00DA2C52">
        <w:rPr>
          <w:rFonts w:cs="Arial"/>
          <w:szCs w:val="20"/>
        </w:rPr>
        <w:t>a</w:t>
      </w:r>
    </w:p>
    <w:p w14:paraId="35773BF6" w14:textId="77777777" w:rsidR="002E1F3C" w:rsidRPr="00DA2C52" w:rsidRDefault="002E1F3C" w:rsidP="002E1F3C">
      <w:pPr>
        <w:spacing w:line="280" w:lineRule="atLeast"/>
        <w:rPr>
          <w:rFonts w:cs="Arial"/>
          <w:szCs w:val="20"/>
        </w:rPr>
      </w:pPr>
    </w:p>
    <w:p w14:paraId="3A440A55"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5F4D4109" w14:textId="532AD9B1"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bookmarkStart w:id="1" w:name="_Hlk67480439"/>
      <w:r w:rsidR="00245E2E">
        <w:rPr>
          <w:rStyle w:val="platne1"/>
          <w:b/>
          <w:szCs w:val="20"/>
          <w:highlight w:val="green"/>
        </w:rPr>
        <w:t>účastník</w:t>
      </w:r>
      <w:bookmarkEnd w:id="1"/>
    </w:p>
    <w:p w14:paraId="31C4CE29" w14:textId="77777777" w:rsidR="002E1F3C" w:rsidRPr="00DA2C52" w:rsidRDefault="002E1F3C" w:rsidP="002E1F3C">
      <w:pPr>
        <w:spacing w:line="280" w:lineRule="atLeast"/>
        <w:jc w:val="both"/>
        <w:rPr>
          <w:szCs w:val="20"/>
        </w:rPr>
      </w:pPr>
      <w:r w:rsidRPr="00DA2C52">
        <w:rPr>
          <w:szCs w:val="20"/>
        </w:rPr>
        <w:tab/>
      </w:r>
    </w:p>
    <w:p w14:paraId="6625D734" w14:textId="5A0E35AA" w:rsidR="002E1F3C" w:rsidRPr="00DA2C52" w:rsidRDefault="002E1F3C" w:rsidP="002E1F3C">
      <w:pPr>
        <w:spacing w:line="280" w:lineRule="atLeast"/>
        <w:rPr>
          <w:szCs w:val="20"/>
        </w:rPr>
      </w:pPr>
      <w:r w:rsidRPr="00DA2C52">
        <w:rPr>
          <w:szCs w:val="20"/>
        </w:rPr>
        <w:t xml:space="preserve">Se sídlem: </w:t>
      </w:r>
      <w:r w:rsidRPr="00245E2E">
        <w:rPr>
          <w:szCs w:val="20"/>
          <w:highlight w:val="green"/>
        </w:rPr>
        <w:t xml:space="preserve">doplní </w:t>
      </w:r>
      <w:r w:rsidR="00245E2E" w:rsidRPr="00245E2E">
        <w:rPr>
          <w:szCs w:val="20"/>
          <w:highlight w:val="green"/>
        </w:rPr>
        <w:t>účastník</w:t>
      </w:r>
    </w:p>
    <w:p w14:paraId="54BDDDB3" w14:textId="3A548996" w:rsidR="002E1F3C" w:rsidRPr="00DA2C52" w:rsidRDefault="002E1F3C" w:rsidP="002E1F3C">
      <w:pPr>
        <w:spacing w:line="280" w:lineRule="atLeast"/>
        <w:jc w:val="both"/>
        <w:rPr>
          <w:b/>
          <w:szCs w:val="20"/>
        </w:rPr>
      </w:pPr>
      <w:r>
        <w:rPr>
          <w:szCs w:val="20"/>
        </w:rPr>
        <w:t xml:space="preserve">Zastoupená: </w:t>
      </w:r>
      <w:r w:rsidRPr="00245E2E">
        <w:rPr>
          <w:szCs w:val="20"/>
          <w:highlight w:val="green"/>
        </w:rPr>
        <w:t xml:space="preserve">doplní </w:t>
      </w:r>
      <w:r w:rsidR="00245E2E" w:rsidRPr="00245E2E">
        <w:rPr>
          <w:szCs w:val="20"/>
          <w:highlight w:val="green"/>
        </w:rPr>
        <w:t>účastník</w:t>
      </w:r>
    </w:p>
    <w:p w14:paraId="12EF06E1" w14:textId="7D42CC33"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245E2E">
        <w:rPr>
          <w:szCs w:val="20"/>
          <w:highlight w:val="green"/>
        </w:rPr>
        <w:t xml:space="preserve">doplní </w:t>
      </w:r>
      <w:r w:rsidR="00245E2E" w:rsidRPr="00245E2E">
        <w:rPr>
          <w:szCs w:val="20"/>
          <w:highlight w:val="green"/>
        </w:rPr>
        <w:t>účastník</w:t>
      </w:r>
    </w:p>
    <w:p w14:paraId="76E799F6" w14:textId="493BACB0" w:rsidR="002E1F3C" w:rsidRPr="00DA2C52" w:rsidRDefault="002E1F3C" w:rsidP="002E1F3C">
      <w:pPr>
        <w:spacing w:line="280" w:lineRule="atLeast"/>
        <w:rPr>
          <w:szCs w:val="20"/>
        </w:rPr>
      </w:pPr>
      <w:r w:rsidRPr="00DA2C52">
        <w:rPr>
          <w:szCs w:val="20"/>
        </w:rPr>
        <w:t xml:space="preserve">DIČ: </w:t>
      </w:r>
      <w:r w:rsidRPr="00245E2E">
        <w:rPr>
          <w:szCs w:val="20"/>
          <w:highlight w:val="green"/>
        </w:rPr>
        <w:t xml:space="preserve">doplní </w:t>
      </w:r>
      <w:r w:rsidR="00245E2E" w:rsidRPr="00245E2E">
        <w:rPr>
          <w:szCs w:val="20"/>
          <w:highlight w:val="green"/>
        </w:rPr>
        <w:t>účastník</w:t>
      </w:r>
    </w:p>
    <w:p w14:paraId="2E0A635C" w14:textId="63DE2D01" w:rsidR="002E1F3C" w:rsidRPr="00DA2C52" w:rsidRDefault="002E1F3C" w:rsidP="002E1F3C">
      <w:pPr>
        <w:spacing w:line="280" w:lineRule="atLeast"/>
        <w:rPr>
          <w:szCs w:val="20"/>
        </w:rPr>
      </w:pPr>
      <w:r w:rsidRPr="00DA2C52">
        <w:rPr>
          <w:szCs w:val="20"/>
        </w:rPr>
        <w:t xml:space="preserve">Zapsána v obchodním rejstříku vedeném </w:t>
      </w:r>
      <w:r w:rsidRPr="00245E2E">
        <w:rPr>
          <w:szCs w:val="20"/>
          <w:highlight w:val="green"/>
        </w:rPr>
        <w:t xml:space="preserve">doplní </w:t>
      </w:r>
      <w:r w:rsidR="00245E2E" w:rsidRPr="00245E2E">
        <w:rPr>
          <w:szCs w:val="20"/>
          <w:highlight w:val="green"/>
        </w:rPr>
        <w:t>účastník</w:t>
      </w:r>
      <w:r w:rsidRPr="00DA2C52">
        <w:rPr>
          <w:szCs w:val="20"/>
        </w:rPr>
        <w:t xml:space="preserve">, oddíl </w:t>
      </w:r>
      <w:r w:rsidRPr="00245E2E">
        <w:rPr>
          <w:szCs w:val="20"/>
          <w:highlight w:val="green"/>
        </w:rPr>
        <w:t xml:space="preserve">doplní </w:t>
      </w:r>
      <w:r w:rsidR="00245E2E" w:rsidRPr="00245E2E">
        <w:rPr>
          <w:szCs w:val="20"/>
          <w:highlight w:val="green"/>
        </w:rPr>
        <w:t>účastník</w:t>
      </w:r>
      <w:r w:rsidRPr="00DA2C52">
        <w:rPr>
          <w:szCs w:val="20"/>
        </w:rPr>
        <w:t xml:space="preserve">, vložka </w:t>
      </w:r>
      <w:r w:rsidRPr="00245E2E">
        <w:rPr>
          <w:szCs w:val="20"/>
          <w:highlight w:val="green"/>
        </w:rPr>
        <w:t xml:space="preserve">doplní </w:t>
      </w:r>
      <w:r w:rsidR="00245E2E" w:rsidRPr="00245E2E">
        <w:rPr>
          <w:szCs w:val="20"/>
          <w:highlight w:val="green"/>
        </w:rPr>
        <w:t>účastník</w:t>
      </w:r>
    </w:p>
    <w:p w14:paraId="5F9296F6" w14:textId="3261EB5D"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245E2E">
        <w:rPr>
          <w:szCs w:val="20"/>
          <w:highlight w:val="green"/>
        </w:rPr>
        <w:t xml:space="preserve">doplní </w:t>
      </w:r>
      <w:r w:rsidR="00245E2E" w:rsidRPr="00245E2E">
        <w:rPr>
          <w:szCs w:val="20"/>
          <w:highlight w:val="green"/>
        </w:rPr>
        <w:t>účastník</w:t>
      </w:r>
    </w:p>
    <w:p w14:paraId="15B653B4" w14:textId="77777777" w:rsidR="004E39B3" w:rsidRDefault="004E39B3" w:rsidP="002E1F3C">
      <w:pPr>
        <w:spacing w:line="280" w:lineRule="atLeast"/>
        <w:jc w:val="both"/>
        <w:rPr>
          <w:szCs w:val="20"/>
        </w:rPr>
      </w:pPr>
    </w:p>
    <w:p w14:paraId="0EB5EF4B" w14:textId="13B8CFF9"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Pr>
          <w:b/>
          <w:szCs w:val="20"/>
        </w:rPr>
        <w:t xml:space="preserve"> </w:t>
      </w:r>
      <w:r w:rsidRPr="004E39B3">
        <w:rPr>
          <w:szCs w:val="20"/>
        </w:rPr>
        <w:t>nebo</w:t>
      </w:r>
      <w:r>
        <w:rPr>
          <w:b/>
          <w:szCs w:val="20"/>
        </w:rPr>
        <w:t xml:space="preserve"> „</w:t>
      </w:r>
      <w:r w:rsidR="00245E2E">
        <w:rPr>
          <w:b/>
          <w:szCs w:val="20"/>
        </w:rPr>
        <w:t>účastník</w:t>
      </w:r>
      <w:r>
        <w:rPr>
          <w:b/>
          <w:szCs w:val="20"/>
        </w:rPr>
        <w:t>“</w:t>
      </w:r>
      <w:r w:rsidRPr="00DA2C52">
        <w:rPr>
          <w:szCs w:val="20"/>
        </w:rPr>
        <w:t>)</w:t>
      </w:r>
    </w:p>
    <w:p w14:paraId="74A9CDFC" w14:textId="77777777" w:rsidR="002E1F3C" w:rsidRDefault="002E1F3C" w:rsidP="002E1F3C">
      <w:pPr>
        <w:spacing w:line="280" w:lineRule="atLeast"/>
        <w:jc w:val="both"/>
        <w:rPr>
          <w:szCs w:val="22"/>
        </w:rPr>
      </w:pPr>
    </w:p>
    <w:p w14:paraId="3150302A" w14:textId="447DFAAA" w:rsidR="004E39B3" w:rsidRDefault="008733D0" w:rsidP="002E1F3C">
      <w:pPr>
        <w:spacing w:line="280" w:lineRule="atLeast"/>
        <w:jc w:val="both"/>
        <w:rPr>
          <w:szCs w:val="22"/>
        </w:rPr>
      </w:pPr>
      <w:r w:rsidRPr="00962EF2">
        <w:rPr>
          <w:noProof/>
        </w:rPr>
        <w:drawing>
          <wp:inline distT="0" distB="0" distL="0" distR="0" wp14:anchorId="300623F3" wp14:editId="3EFF90BC">
            <wp:extent cx="5760720" cy="588645"/>
            <wp:effectExtent l="0" t="0" r="0" b="190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88645"/>
                    </a:xfrm>
                    <a:prstGeom prst="rect">
                      <a:avLst/>
                    </a:prstGeom>
                    <a:noFill/>
                    <a:ln>
                      <a:noFill/>
                    </a:ln>
                  </pic:spPr>
                </pic:pic>
              </a:graphicData>
            </a:graphic>
          </wp:inline>
        </w:drawing>
      </w:r>
    </w:p>
    <w:p w14:paraId="146A929F" w14:textId="77777777" w:rsidR="008733D0" w:rsidRPr="00DA2C52" w:rsidRDefault="008733D0" w:rsidP="002E1F3C">
      <w:pPr>
        <w:spacing w:line="280" w:lineRule="atLeast"/>
        <w:jc w:val="both"/>
        <w:rPr>
          <w:szCs w:val="22"/>
        </w:rPr>
      </w:pPr>
    </w:p>
    <w:p w14:paraId="6C547939" w14:textId="77777777" w:rsidR="002E1F3C" w:rsidRPr="00DA2C52" w:rsidRDefault="00264E05" w:rsidP="002E1F3C">
      <w:pPr>
        <w:pStyle w:val="Zkladntext21"/>
        <w:spacing w:line="280" w:lineRule="atLeast"/>
        <w:ind w:left="0" w:firstLine="0"/>
        <w:jc w:val="both"/>
        <w:rPr>
          <w:rFonts w:ascii="Arial" w:hAnsi="Arial" w:cs="Arial"/>
          <w:sz w:val="20"/>
        </w:rPr>
      </w:pPr>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 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Pr>
          <w:rFonts w:ascii="Arial" w:hAnsi="Arial" w:cs="Arial"/>
          <w:sz w:val="20"/>
        </w:rPr>
        <w:t xml:space="preserve"> č. 134/2016 Sb., o zadávání veřejných zakázek, ve znění pozdějších předpisů (dále jen </w:t>
      </w:r>
      <w:r>
        <w:rPr>
          <w:rFonts w:ascii="Arial" w:hAnsi="Arial" w:cs="Arial"/>
          <w:b/>
          <w:bCs/>
          <w:sz w:val="20"/>
        </w:rPr>
        <w:t>„ZZVZ“</w:t>
      </w:r>
      <w:r>
        <w:rPr>
          <w:rFonts w:ascii="Arial" w:hAnsi="Arial" w:cs="Arial"/>
          <w:sz w:val="20"/>
        </w:rPr>
        <w:t>), tuto smlouvu</w:t>
      </w:r>
      <w:r w:rsidR="002E1F3C" w:rsidRPr="00DA2C52">
        <w:rPr>
          <w:rFonts w:ascii="Arial" w:hAnsi="Arial" w:cs="Arial"/>
          <w:sz w:val="20"/>
        </w:rPr>
        <w:t xml:space="preserve">: </w:t>
      </w:r>
    </w:p>
    <w:p w14:paraId="7FBB61DC" w14:textId="77777777" w:rsidR="002E1F3C" w:rsidRDefault="002E1F3C" w:rsidP="002E1F3C">
      <w:pPr>
        <w:spacing w:line="280" w:lineRule="atLeast"/>
        <w:jc w:val="center"/>
        <w:rPr>
          <w:b/>
          <w:sz w:val="24"/>
        </w:rPr>
      </w:pPr>
    </w:p>
    <w:p w14:paraId="52A63353" w14:textId="77777777" w:rsidR="004E39B3" w:rsidRPr="00DA2C52" w:rsidRDefault="004E39B3" w:rsidP="002E1F3C">
      <w:pPr>
        <w:spacing w:line="280" w:lineRule="atLeast"/>
        <w:jc w:val="center"/>
        <w:rPr>
          <w:b/>
          <w:sz w:val="24"/>
        </w:rPr>
      </w:pPr>
    </w:p>
    <w:p w14:paraId="4D0BE17A"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5BD5D57E" w14:textId="77777777" w:rsidR="002E1F3C" w:rsidRPr="00DA2C52" w:rsidRDefault="002E1F3C" w:rsidP="002E1F3C">
      <w:pPr>
        <w:spacing w:line="280" w:lineRule="atLeast"/>
        <w:jc w:val="center"/>
        <w:rPr>
          <w:rFonts w:cs="Arial"/>
          <w:b/>
          <w:szCs w:val="20"/>
        </w:rPr>
      </w:pPr>
    </w:p>
    <w:p w14:paraId="356C2A40" w14:textId="69364FC8" w:rsidR="002E1F3C" w:rsidRPr="00DA2C52" w:rsidRDefault="002E1F3C" w:rsidP="002E1F3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8733D0">
        <w:rPr>
          <w:rFonts w:ascii="Arial" w:hAnsi="Arial" w:cs="Arial"/>
          <w:sz w:val="20"/>
          <w:szCs w:val="20"/>
        </w:rPr>
        <w:t>účastníka</w:t>
      </w:r>
      <w:r w:rsidRPr="00DA2C52">
        <w:rPr>
          <w:rFonts w:ascii="Arial" w:hAnsi="Arial" w:cs="Arial"/>
          <w:sz w:val="20"/>
          <w:szCs w:val="20"/>
        </w:rPr>
        <w:t xml:space="preserve"> ze dne</w:t>
      </w:r>
      <w:r w:rsidRPr="008733D0">
        <w:rPr>
          <w:rFonts w:ascii="Arial" w:hAnsi="Arial" w:cs="Arial"/>
          <w:sz w:val="20"/>
          <w:szCs w:val="20"/>
        </w:rPr>
        <w:t xml:space="preserve">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nazvané </w:t>
      </w:r>
      <w:r>
        <w:rPr>
          <w:rFonts w:ascii="Arial" w:hAnsi="Arial" w:cs="Arial"/>
          <w:sz w:val="20"/>
          <w:szCs w:val="20"/>
        </w:rPr>
        <w:t>„</w:t>
      </w:r>
      <w:r w:rsidR="008733D0" w:rsidRPr="008733D0">
        <w:rPr>
          <w:rFonts w:ascii="Arial" w:eastAsia="Verdana" w:hAnsi="Arial" w:cs="Arial"/>
          <w:b/>
          <w:bCs/>
          <w:color w:val="000000"/>
          <w:sz w:val="20"/>
          <w:szCs w:val="20"/>
          <w:lang w:eastAsia="ar-SA"/>
        </w:rPr>
        <w:t>Dodávky stožárových příhradových konstrukcí (mřížové stožáry) II</w:t>
      </w:r>
      <w:r w:rsidR="000B2063">
        <w:rPr>
          <w:rFonts w:ascii="Arial" w:hAnsi="Arial" w:cs="Arial"/>
          <w:b/>
          <w:sz w:val="20"/>
          <w:szCs w:val="20"/>
        </w:rPr>
        <w:t>“ pro část „</w:t>
      </w:r>
      <w:r w:rsidR="00356581">
        <w:rPr>
          <w:rFonts w:ascii="Arial" w:hAnsi="Arial" w:cs="Arial"/>
          <w:b/>
          <w:sz w:val="20"/>
          <w:szCs w:val="20"/>
        </w:rPr>
        <w:t>A</w:t>
      </w:r>
      <w:r>
        <w:rPr>
          <w:rFonts w:ascii="Arial" w:hAnsi="Arial" w:cs="Arial"/>
          <w:b/>
          <w:sz w:val="20"/>
          <w:szCs w:val="20"/>
        </w:rPr>
        <w:t>“ této veřejné zakázky</w:t>
      </w:r>
      <w:r>
        <w:rPr>
          <w:rFonts w:ascii="Arial" w:hAnsi="Arial" w:cs="Arial"/>
          <w:b/>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Pr>
          <w:rFonts w:ascii="Arial" w:hAnsi="Arial" w:cs="Arial"/>
          <w:sz w:val="20"/>
          <w:szCs w:val="20"/>
        </w:rPr>
        <w:lastRenderedPageBreak/>
        <w:t xml:space="preserve">zadavatelem </w:t>
      </w:r>
      <w:r w:rsidRPr="00DA2C52">
        <w:rPr>
          <w:rFonts w:ascii="Arial" w:hAnsi="Arial" w:cs="Arial"/>
          <w:sz w:val="20"/>
          <w:szCs w:val="20"/>
        </w:rPr>
        <w:t xml:space="preserve">v souladu se </w:t>
      </w:r>
      <w:r>
        <w:rPr>
          <w:rFonts w:ascii="Arial" w:hAnsi="Arial" w:cs="Arial"/>
          <w:sz w:val="20"/>
          <w:szCs w:val="20"/>
        </w:rPr>
        <w:t>Z</w:t>
      </w:r>
      <w:r w:rsidR="003112DC">
        <w:rPr>
          <w:rFonts w:ascii="Arial" w:hAnsi="Arial" w:cs="Arial"/>
          <w:sz w:val="20"/>
          <w:szCs w:val="20"/>
        </w:rPr>
        <w:t>Z</w:t>
      </w:r>
      <w:r>
        <w:rPr>
          <w:rFonts w:ascii="Arial" w:hAnsi="Arial" w:cs="Arial"/>
          <w:sz w:val="20"/>
          <w:szCs w:val="20"/>
        </w:rPr>
        <w:t xml:space="preserve">VZ, a zadávací dokumentace </w:t>
      </w:r>
      <w:r w:rsidR="00D41C20">
        <w:rPr>
          <w:rFonts w:ascii="Arial" w:hAnsi="Arial" w:cs="Arial"/>
          <w:sz w:val="20"/>
          <w:szCs w:val="20"/>
        </w:rPr>
        <w:t>kupujícího</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214C7792" w14:textId="77777777" w:rsidR="002E1F3C" w:rsidRPr="00DA2C52" w:rsidRDefault="002E1F3C" w:rsidP="002E1F3C">
      <w:pPr>
        <w:spacing w:line="280" w:lineRule="atLeast"/>
        <w:jc w:val="center"/>
        <w:rPr>
          <w:rFonts w:cs="Arial"/>
          <w:b/>
          <w:szCs w:val="20"/>
        </w:rPr>
      </w:pPr>
    </w:p>
    <w:p w14:paraId="0D93F309" w14:textId="77777777" w:rsidR="002E1F3C" w:rsidRPr="00DA2C52" w:rsidRDefault="002E1F3C" w:rsidP="002E1F3C">
      <w:pPr>
        <w:spacing w:line="280" w:lineRule="atLeast"/>
        <w:jc w:val="center"/>
        <w:rPr>
          <w:rFonts w:cs="Arial"/>
          <w:b/>
          <w:szCs w:val="20"/>
        </w:rPr>
      </w:pPr>
      <w:r w:rsidRPr="00DA2C52">
        <w:rPr>
          <w:rFonts w:cs="Arial"/>
          <w:b/>
          <w:szCs w:val="20"/>
        </w:rPr>
        <w:t>I.</w:t>
      </w:r>
    </w:p>
    <w:p w14:paraId="7FDF4F5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34F2FFB1" w14:textId="77777777" w:rsidR="002E1F3C" w:rsidRPr="00DA2C52" w:rsidRDefault="002E1F3C" w:rsidP="002E1F3C">
      <w:pPr>
        <w:spacing w:line="280" w:lineRule="atLeast"/>
        <w:jc w:val="both"/>
        <w:rPr>
          <w:rFonts w:cs="Arial"/>
          <w:szCs w:val="20"/>
        </w:rPr>
      </w:pPr>
    </w:p>
    <w:p w14:paraId="6947E95D" w14:textId="77777777" w:rsidR="00D41C20" w:rsidRDefault="002E1F3C" w:rsidP="002E1F3C">
      <w:pPr>
        <w:pStyle w:val="odstavec"/>
      </w:pPr>
      <w:r w:rsidRPr="00DA2C52">
        <w:t xml:space="preserve">Předmětem této smlouvy je </w:t>
      </w:r>
      <w:r>
        <w:rPr>
          <w:b/>
        </w:rPr>
        <w:t>d</w:t>
      </w:r>
      <w:r w:rsidRPr="00574EF3">
        <w:rPr>
          <w:b/>
        </w:rPr>
        <w:t xml:space="preserve">odávka příhradových stožárů </w:t>
      </w:r>
      <w:r w:rsidR="00356581">
        <w:rPr>
          <w:b/>
        </w:rPr>
        <w:t xml:space="preserve">a konzolí </w:t>
      </w:r>
      <w:r w:rsidRPr="00574EF3">
        <w:rPr>
          <w:b/>
        </w:rPr>
        <w:t xml:space="preserve">pro vedení </w:t>
      </w:r>
      <w:r w:rsidR="000B2063">
        <w:rPr>
          <w:b/>
        </w:rPr>
        <w:t>V</w:t>
      </w:r>
      <w:r w:rsidRPr="00574EF3">
        <w:rPr>
          <w:b/>
        </w:rPr>
        <w:t>N vč. příslušenství</w:t>
      </w:r>
      <w:r>
        <w:t xml:space="preserve"> (dále jen </w:t>
      </w:r>
      <w:r w:rsidRPr="00A638B8">
        <w:rPr>
          <w:b/>
        </w:rPr>
        <w:t>„</w:t>
      </w:r>
      <w:r>
        <w:rPr>
          <w:b/>
        </w:rPr>
        <w:t>zboží</w:t>
      </w:r>
      <w:r w:rsidRPr="00A638B8">
        <w:rPr>
          <w:b/>
        </w:rPr>
        <w:t>“</w:t>
      </w:r>
      <w:r>
        <w:t>) prodávajícím kupujícímu, a to dle podmínek stanovených v této smlouvě, nabídce, zadávací dokumentaci a dle Všeobecných podmínek platných</w:t>
      </w:r>
      <w:r w:rsidRPr="00C70DD2">
        <w:t xml:space="preserve"> pro kupní smlouvy a</w:t>
      </w:r>
      <w:r>
        <w:t xml:space="preserve"> </w:t>
      </w:r>
      <w:r w:rsidRPr="00C70DD2">
        <w:t>smlouvy o dílo společností skupiny E.ON Czech</w:t>
      </w:r>
      <w:r>
        <w:t xml:space="preserve"> ve verzi platné a účinné ke dni uzavření této smlouvy (dále jen „</w:t>
      </w:r>
      <w:r w:rsidRPr="00CC2EC9">
        <w:rPr>
          <w:b/>
        </w:rPr>
        <w:t>VNP</w:t>
      </w:r>
      <w:r>
        <w:t xml:space="preserve">“) jako obchodních podmínek kupujícího, včetně zvláštní akceptace </w:t>
      </w:r>
      <w:r>
        <w:rPr>
          <w:rFonts w:eastAsia="Calibri"/>
          <w:lang w:eastAsia="en-US"/>
        </w:rPr>
        <w:t>vybraných ustanovení obchodních podmínek prodávajícím dle § 1753 NOZ,</w:t>
      </w:r>
      <w:r>
        <w:t xml:space="preserve"> připojených k této smlouvě jako </w:t>
      </w:r>
      <w:r>
        <w:rPr>
          <w:u w:val="single"/>
        </w:rPr>
        <w:t>příloha 4</w:t>
      </w:r>
      <w:r w:rsidRPr="00C70DD2">
        <w:t xml:space="preserve">. </w:t>
      </w:r>
    </w:p>
    <w:p w14:paraId="06D07A3E" w14:textId="77777777" w:rsidR="00331699" w:rsidRDefault="003112DC" w:rsidP="002E1F3C">
      <w:pPr>
        <w:pStyle w:val="odstavec"/>
      </w:pPr>
      <w:r>
        <w:t>Předpokládané</w:t>
      </w:r>
      <w:r w:rsidR="002E1F3C" w:rsidRPr="00C70DD2">
        <w:t xml:space="preserve"> odebírané množství</w:t>
      </w:r>
      <w:r w:rsidR="002E1F3C">
        <w:t xml:space="preserve"> zboží, které je předmětem této smlouvy, je</w:t>
      </w:r>
      <w:r w:rsidR="002E1F3C" w:rsidRPr="00C70DD2">
        <w:t xml:space="preserve"> blíže určeno v </w:t>
      </w:r>
      <w:r w:rsidR="002E1F3C" w:rsidRPr="00C70DD2">
        <w:rPr>
          <w:u w:val="single"/>
        </w:rPr>
        <w:t xml:space="preserve">příloze </w:t>
      </w:r>
      <w:proofErr w:type="gramStart"/>
      <w:r w:rsidR="002E1F3C" w:rsidRPr="00C70DD2">
        <w:rPr>
          <w:u w:val="single"/>
        </w:rPr>
        <w:t>1</w:t>
      </w:r>
      <w:r w:rsidR="000F72FB">
        <w:rPr>
          <w:u w:val="single"/>
        </w:rPr>
        <w:t>a</w:t>
      </w:r>
      <w:proofErr w:type="gramEnd"/>
      <w:r w:rsidR="002E1F3C" w:rsidRPr="00C70DD2">
        <w:t xml:space="preserve"> této </w:t>
      </w:r>
      <w:r w:rsidR="002E1F3C" w:rsidRPr="00812959">
        <w:t xml:space="preserve">smlouvy. </w:t>
      </w:r>
    </w:p>
    <w:p w14:paraId="06EE4DC1" w14:textId="77777777" w:rsidR="002E1F3C" w:rsidRPr="00766808" w:rsidRDefault="002E1F3C" w:rsidP="002E1F3C">
      <w:pPr>
        <w:pStyle w:val="odstavec"/>
      </w:pPr>
      <w:r w:rsidRPr="00812959">
        <w:t>Prodávající je také povinen předat kupujícímu spolu s dodávkou zboží veškerou dokumentaci potřebnou pro použití zboží v souladu s jeho účelem.</w:t>
      </w:r>
      <w:r>
        <w:t xml:space="preserve"> Součástí každé jednotlivé dodávky je taktéž potřebný montážní a spojovací materiál.</w:t>
      </w:r>
    </w:p>
    <w:p w14:paraId="7F29A58C" w14:textId="77777777" w:rsidR="002E1F3C" w:rsidRDefault="002E1F3C" w:rsidP="002E1F3C">
      <w:pPr>
        <w:pStyle w:val="odstavec"/>
      </w:pPr>
      <w:r>
        <w:t xml:space="preserve">Prodávající se za podmínek uvedených v této smlouvě zavazuje dodat kupujícímu zboží a umožnit kupujícímu nabytí vlastnického práva ke zboží a kupující se zavazuje dodané zboží převzít a zaplatit za něj prodávajícímu dohodnutou cenu. </w:t>
      </w:r>
    </w:p>
    <w:p w14:paraId="7BC0F427" w14:textId="77777777" w:rsidR="002E1F3C" w:rsidRDefault="002E1F3C" w:rsidP="002E1F3C">
      <w:pPr>
        <w:pStyle w:val="odstavec"/>
      </w:pPr>
      <w:r>
        <w:t xml:space="preserve">V </w:t>
      </w:r>
      <w:r w:rsidRPr="00CB3A41">
        <w:rPr>
          <w:u w:val="single"/>
        </w:rPr>
        <w:t xml:space="preserve">příloze </w:t>
      </w:r>
      <w:proofErr w:type="gramStart"/>
      <w:r w:rsidRPr="00CB3A41">
        <w:rPr>
          <w:u w:val="single"/>
        </w:rPr>
        <w:t>1</w:t>
      </w:r>
      <w:r w:rsidR="000F72FB">
        <w:rPr>
          <w:u w:val="single"/>
        </w:rPr>
        <w:t>a</w:t>
      </w:r>
      <w:proofErr w:type="gramEnd"/>
      <w:r>
        <w:t xml:space="preserve"> této smlouvy je uvedena cena, kterou je kupující povinen zaplatit prodávajícímu za 1 tunu, tedy 1 000 kg stožárové konstr</w:t>
      </w:r>
      <w:r w:rsidR="000F72FB">
        <w:t>ukce. Zároveň s tím jsou v </w:t>
      </w:r>
      <w:r w:rsidRPr="000F72FB">
        <w:rPr>
          <w:u w:val="single"/>
        </w:rPr>
        <w:t>příloze</w:t>
      </w:r>
      <w:r w:rsidR="000F72FB" w:rsidRPr="000F72FB">
        <w:rPr>
          <w:u w:val="single"/>
        </w:rPr>
        <w:t xml:space="preserve"> </w:t>
      </w:r>
      <w:proofErr w:type="gramStart"/>
      <w:r w:rsidR="000F72FB" w:rsidRPr="000F72FB">
        <w:rPr>
          <w:u w:val="single"/>
        </w:rPr>
        <w:t>1b</w:t>
      </w:r>
      <w:proofErr w:type="gramEnd"/>
      <w:r>
        <w:t xml:space="preserve"> předepsány hmotnosti jednotlivých typů stožárových konstrukcí. Odchylka skutečné hmotnosti každého jednotlivého typu stožárové konstrukce může být ± 5 % od předepsané hmotnosti uvedené v </w:t>
      </w:r>
      <w:r w:rsidRPr="00CB3A41">
        <w:rPr>
          <w:u w:val="single"/>
        </w:rPr>
        <w:t xml:space="preserve">příloze </w:t>
      </w:r>
      <w:proofErr w:type="gramStart"/>
      <w:r w:rsidRPr="00CB3A41">
        <w:rPr>
          <w:u w:val="single"/>
        </w:rPr>
        <w:t>1</w:t>
      </w:r>
      <w:r w:rsidR="000F72FB">
        <w:rPr>
          <w:u w:val="single"/>
        </w:rPr>
        <w:t>b</w:t>
      </w:r>
      <w:proofErr w:type="gramEnd"/>
      <w:r>
        <w:t xml:space="preserve"> u daného typu stožárové konstrukce. Kupující však prodávajícímu vždy zaplatí cenu odpovídající hmotnosti stožárové konstrukce předepsané v </w:t>
      </w:r>
      <w:r w:rsidRPr="00CB3A41">
        <w:rPr>
          <w:u w:val="single"/>
        </w:rPr>
        <w:t xml:space="preserve">příloze </w:t>
      </w:r>
      <w:proofErr w:type="gramStart"/>
      <w:r w:rsidRPr="00CB3A41">
        <w:rPr>
          <w:u w:val="single"/>
        </w:rPr>
        <w:t>1</w:t>
      </w:r>
      <w:r w:rsidR="000F72FB">
        <w:rPr>
          <w:u w:val="single"/>
        </w:rPr>
        <w:t>b</w:t>
      </w:r>
      <w:proofErr w:type="gramEnd"/>
      <w:r>
        <w:t xml:space="preserve"> této smlouvy bez ohledu na její skutečnou hmotnost, která může zahrnovat výše uvedenou výrobní toleranci.</w:t>
      </w:r>
    </w:p>
    <w:p w14:paraId="34636598" w14:textId="1B593859" w:rsidR="002E1F3C" w:rsidRPr="00766808" w:rsidRDefault="002E1F3C" w:rsidP="002E1F3C">
      <w:pPr>
        <w:pStyle w:val="odstavec"/>
      </w:pPr>
      <w:r>
        <w:t xml:space="preserve">V případě požadavku kupujícího na dodání atypické stožárové konstrukce </w:t>
      </w:r>
      <w:r w:rsidR="00685A95">
        <w:t>dle bodu 3.</w:t>
      </w:r>
      <w:r w:rsidR="00903C41">
        <w:t>12</w:t>
      </w:r>
      <w:r w:rsidR="00685A95">
        <w:t xml:space="preserve"> </w:t>
      </w:r>
      <w:r w:rsidR="00087D68">
        <w:rPr>
          <w:u w:val="single"/>
        </w:rPr>
        <w:t>P</w:t>
      </w:r>
      <w:r w:rsidR="00685A95" w:rsidRPr="004B2741">
        <w:rPr>
          <w:u w:val="single"/>
        </w:rPr>
        <w:t>řílohy 2</w:t>
      </w:r>
      <w:r w:rsidR="00685A95">
        <w:t xml:space="preserve"> smlouvy </w:t>
      </w:r>
      <w:r>
        <w:t>bude její hmotnost v</w:t>
      </w:r>
      <w:r w:rsidR="00A430F0">
        <w:t>ycházet z projektové dokumentace</w:t>
      </w:r>
      <w:r>
        <w:t>, která bude prodávajícímu předána nejpozději s dílčí objednávkou. Odchylka skutečné hmotnosti každého jednotlivého typu stožárové konstrukce může být ± 5 % od předepsané hmotnosti uvedené v projektové dokumentaci. Kupující však prodávajícímu zaplatí cenu odpovídající hmotnosti stožárové konstrukce předepsané v projektové dokumentaci bez ohledu na její skutečnou hmotnost, která může zahrnovat výše uvedenou výrobní toleranci.</w:t>
      </w:r>
    </w:p>
    <w:p w14:paraId="643D4192" w14:textId="77777777" w:rsidR="002E1F3C" w:rsidRPr="00766808" w:rsidRDefault="002E1F3C" w:rsidP="002E1F3C">
      <w:pPr>
        <w:pStyle w:val="odstavec"/>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Pr>
          <w:b/>
        </w:rPr>
        <w:t>výzva k plnění</w:t>
      </w:r>
      <w:r w:rsidRPr="00D17513">
        <w:t>“),</w:t>
      </w:r>
      <w:r>
        <w:t xml:space="preserve"> </w:t>
      </w:r>
      <w:r w:rsidRPr="00D17513">
        <w:t>a to po dobu účinnosti této smlouvy.</w:t>
      </w:r>
    </w:p>
    <w:p w14:paraId="1D097793" w14:textId="77777777" w:rsidR="002E1F3C" w:rsidRPr="00766808" w:rsidRDefault="002E1F3C" w:rsidP="002E1F3C">
      <w:pPr>
        <w:pStyle w:val="odstavec"/>
      </w:pPr>
      <w:r>
        <w:t>Nebude-li v jednotlivém případě mezi smluvními stranami dohodnuto jinak, budou se vztahy mezi smluvními stranami řídit touto smlouvou, nabídkou, zadávací dokumentací a příslušnými právními předpisy, zejména Z</w:t>
      </w:r>
      <w:r w:rsidR="00BA0C48">
        <w:t>Z</w:t>
      </w:r>
      <w:r w:rsidR="003112DC">
        <w:t>V</w:t>
      </w:r>
      <w:r>
        <w:t>Z a NOZ.</w:t>
      </w:r>
    </w:p>
    <w:p w14:paraId="0F3D0DB5" w14:textId="77777777" w:rsidR="00BA0C48" w:rsidRPr="00DA2C52" w:rsidRDefault="00BA0C48" w:rsidP="002E1F3C">
      <w:pPr>
        <w:pStyle w:val="odstavec"/>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Uzavření této smlouvy mezi shora uvedenými smluvními stranami nezakládá povinnost kupujícího k odběru </w:t>
      </w:r>
      <w:r w:rsidRPr="005948DE">
        <w:lastRenderedPageBreak/>
        <w:t>žádného množství zboží od prodávajícího. Smluvní strany se zároveň dohodly, že ustanovení § 2098 občanského zákoníku se nepoužije</w:t>
      </w:r>
    </w:p>
    <w:p w14:paraId="3443A149" w14:textId="77777777" w:rsidR="002E1F3C" w:rsidRPr="00CB3A41" w:rsidRDefault="002E1F3C" w:rsidP="002E1F3C">
      <w:pPr>
        <w:pStyle w:val="odstavec"/>
      </w:pPr>
      <w:r w:rsidRPr="008D4E20">
        <w:t xml:space="preserve">Zboží dodané prodávajícím kupujícímu dle této smlouvy musí odpovídat technickým požadavkům zadavatele uvedeným v zadávací dokumentaci, této smlouvě a příslušným právním předpisům, jakož i použitelným technickým normám. </w:t>
      </w:r>
      <w:r w:rsidRPr="000A2294">
        <w:rPr>
          <w:bCs/>
          <w:iCs/>
        </w:rPr>
        <w:t>Zboží dodan</w:t>
      </w:r>
      <w:r w:rsidRPr="00F83F6C">
        <w:rPr>
          <w:bCs/>
          <w:iCs/>
        </w:rPr>
        <w:t xml:space="preserve">é prodávajícím kupujícímu dle této smlouvy musí dále splňovat technickou specifikaci kupujícího, která tvoří </w:t>
      </w:r>
      <w:r w:rsidRPr="00F83F6C">
        <w:rPr>
          <w:bCs/>
          <w:iCs/>
          <w:u w:val="single"/>
        </w:rPr>
        <w:t>přílohu 2</w:t>
      </w:r>
      <w:r w:rsidRPr="00F83F6C">
        <w:rPr>
          <w:bCs/>
          <w:iCs/>
        </w:rPr>
        <w:t xml:space="preserve"> této smlouvy, a technické parametry, jejichž podrobný popis a specifikace tvoří </w:t>
      </w:r>
      <w:r w:rsidRPr="00F83F6C">
        <w:rPr>
          <w:bCs/>
          <w:iCs/>
          <w:u w:val="single"/>
        </w:rPr>
        <w:t>přílohu 3</w:t>
      </w:r>
      <w:r w:rsidRPr="00F83F6C">
        <w:rPr>
          <w:bCs/>
          <w:iCs/>
        </w:rPr>
        <w:t xml:space="preserve"> této smlouvy</w:t>
      </w:r>
      <w:r>
        <w:rPr>
          <w:bCs/>
          <w:iCs/>
        </w:rPr>
        <w:t xml:space="preserve">. </w:t>
      </w:r>
      <w:r w:rsidRPr="008D4E20">
        <w:t>Prodávající je povinen na výzvu kupujícího předložit doklady prokazující splnění parametrů deklarovaných prodávajícím v </w:t>
      </w:r>
      <w:r w:rsidRPr="006272DC">
        <w:rPr>
          <w:u w:val="single"/>
        </w:rPr>
        <w:t>příloze 3</w:t>
      </w:r>
      <w:r w:rsidRPr="008D4E20">
        <w:t xml:space="preserve"> této smlouvy.</w:t>
      </w:r>
    </w:p>
    <w:p w14:paraId="187219BC" w14:textId="77777777" w:rsidR="002E1F3C" w:rsidRPr="00DA2C52" w:rsidRDefault="002E1F3C" w:rsidP="002E1F3C">
      <w:pPr>
        <w:spacing w:line="280" w:lineRule="atLeast"/>
        <w:jc w:val="center"/>
        <w:rPr>
          <w:rFonts w:cs="Arial"/>
          <w:b/>
          <w:szCs w:val="20"/>
        </w:rPr>
      </w:pPr>
      <w:r w:rsidRPr="00DA2C52">
        <w:rPr>
          <w:rFonts w:cs="Arial"/>
          <w:b/>
          <w:szCs w:val="20"/>
        </w:rPr>
        <w:t>II.</w:t>
      </w:r>
    </w:p>
    <w:p w14:paraId="6C51EE8D"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1E398C57" w14:textId="77777777" w:rsidR="002E1F3C" w:rsidRPr="00DA2C52" w:rsidRDefault="002E1F3C" w:rsidP="002E1F3C">
      <w:pPr>
        <w:spacing w:line="280" w:lineRule="atLeast"/>
        <w:jc w:val="both"/>
        <w:rPr>
          <w:rFonts w:cs="Arial"/>
          <w:szCs w:val="20"/>
        </w:rPr>
      </w:pPr>
    </w:p>
    <w:p w14:paraId="20C9957D" w14:textId="77777777" w:rsidR="002E1F3C" w:rsidRPr="003852C4" w:rsidRDefault="002E1F3C" w:rsidP="002E1F3C">
      <w:pPr>
        <w:pStyle w:val="odstavec"/>
        <w:numPr>
          <w:ilvl w:val="0"/>
          <w:numId w:val="10"/>
        </w:numPr>
      </w:pPr>
      <w:r>
        <w:t xml:space="preserve">Místo </w:t>
      </w:r>
      <w:r w:rsidRPr="003852C4">
        <w:t xml:space="preserve">plnění </w:t>
      </w:r>
      <w:r w:rsidR="00BA0C48" w:rsidRPr="003852C4">
        <w:t xml:space="preserve">určí </w:t>
      </w:r>
      <w:r w:rsidRPr="003852C4">
        <w:t>kupující dle své volné úvahy pro konkrétní dílčí dodávku (plnění) ve výzvě k plnění. 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určené ve výzvě k plnění, nachází-li se místo plnění na území České republiky. Nachází-li se místo plnění určené kupujícím v příslušné výzvě k plnění mimo území České republiky, cena zboží vícenáklady na takové dodání mimo území České republiky nezahrnuje. Nestanoví-li tato smlouva jinak, použije se pro dodání zboží podpůrně doložka INCOTERMS 20</w:t>
      </w:r>
      <w:r w:rsidR="00BA0C48" w:rsidRPr="003852C4">
        <w:t>2</w:t>
      </w:r>
      <w:r w:rsidRPr="003852C4">
        <w:t>0 DDP dle § 1754 NOZ.</w:t>
      </w:r>
    </w:p>
    <w:p w14:paraId="70789281" w14:textId="77777777" w:rsidR="009E6BF5" w:rsidRPr="003852C4" w:rsidRDefault="002E1F3C" w:rsidP="002E1F3C">
      <w:pPr>
        <w:pStyle w:val="odstavec"/>
      </w:pPr>
      <w:r w:rsidRPr="003852C4">
        <w:t>Prodávající je povinen dodat zboží dle požadavku kupujícího uvedeného ve výzvě k plnění na místo určené tamtéž, případně na místo kupujícím dodatečně určené v souladu s tímto čl. II. odst. 1., a to nejpozději ve lhůtě 6 týdnů pro spodní díly stožárových konstrukcí (patky) a ve lhůtě 8 týdnů pro horní díly stožárových konstrukcí od doručení výzvy k plnění prodávajícímu, ledaže kupující určí ve výzvě k plnění pozdější dodací lhůtu.</w:t>
      </w:r>
    </w:p>
    <w:p w14:paraId="5C99649C" w14:textId="77777777" w:rsidR="002E1F3C" w:rsidRPr="003852C4" w:rsidRDefault="002E1F3C" w:rsidP="002E1F3C">
      <w:pPr>
        <w:spacing w:line="280" w:lineRule="atLeast"/>
        <w:jc w:val="both"/>
        <w:rPr>
          <w:rFonts w:cs="Arial"/>
          <w:szCs w:val="20"/>
        </w:rPr>
      </w:pPr>
    </w:p>
    <w:p w14:paraId="03B5975B" w14:textId="77777777" w:rsidR="002E1F3C" w:rsidRPr="003852C4" w:rsidRDefault="002E1F3C" w:rsidP="002E1F3C">
      <w:pPr>
        <w:spacing w:line="280" w:lineRule="atLeast"/>
        <w:jc w:val="both"/>
        <w:rPr>
          <w:rFonts w:cs="Arial"/>
          <w:szCs w:val="20"/>
        </w:rPr>
      </w:pPr>
    </w:p>
    <w:p w14:paraId="687C3A00"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00C9F7D5"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5F355415" w14:textId="77777777" w:rsidR="002E1F3C" w:rsidRPr="003852C4" w:rsidRDefault="002E1F3C" w:rsidP="002E1F3C">
      <w:pPr>
        <w:spacing w:line="280" w:lineRule="atLeast"/>
        <w:jc w:val="both"/>
        <w:rPr>
          <w:rFonts w:cs="Arial"/>
          <w:szCs w:val="20"/>
        </w:rPr>
      </w:pPr>
    </w:p>
    <w:p w14:paraId="1BE7A231" w14:textId="77777777" w:rsidR="002E1F3C" w:rsidRPr="003852C4" w:rsidRDefault="002E1F3C" w:rsidP="002E1F3C">
      <w:pPr>
        <w:pStyle w:val="odstavec"/>
        <w:numPr>
          <w:ilvl w:val="0"/>
          <w:numId w:val="11"/>
        </w:numPr>
      </w:pPr>
      <w:r w:rsidRPr="003852C4">
        <w:t xml:space="preserve">Jednotková cena za 1 tunu (tj. 1 000 kg) stožárové konstrukce uvedená v </w:t>
      </w:r>
      <w:r w:rsidRPr="003852C4">
        <w:rPr>
          <w:u w:val="single"/>
        </w:rPr>
        <w:t xml:space="preserve">příloze </w:t>
      </w:r>
      <w:proofErr w:type="gramStart"/>
      <w:r w:rsidRPr="003852C4">
        <w:rPr>
          <w:u w:val="single"/>
        </w:rPr>
        <w:t>1</w:t>
      </w:r>
      <w:r w:rsidR="000F72FB" w:rsidRPr="003852C4">
        <w:rPr>
          <w:u w:val="single"/>
        </w:rPr>
        <w:t>a</w:t>
      </w:r>
      <w:proofErr w:type="gramEnd"/>
      <w:r w:rsidRPr="003852C4">
        <w:t xml:space="preserve"> této smlouvy (dále jen „</w:t>
      </w:r>
      <w:r w:rsidRPr="003852C4">
        <w:rPr>
          <w:b/>
        </w:rPr>
        <w:t>cena</w:t>
      </w:r>
      <w:r w:rsidRPr="003852C4">
        <w:t xml:space="preserve">“) je nejvýše přípustná, konečná a nepřekročitelná, není-li dále stanoveno jinak. Pro vyloučení všech pochybností není kupující povinen hradit cenu za zboží, které v souladu s článkem I. odst. 7. této smlouvy neodebral. </w:t>
      </w:r>
    </w:p>
    <w:p w14:paraId="2045FAB5" w14:textId="77777777" w:rsidR="009E6BF5" w:rsidRPr="003852C4" w:rsidRDefault="002E1F3C" w:rsidP="00264E05">
      <w:pPr>
        <w:pStyle w:val="odstavec"/>
      </w:pPr>
      <w:r w:rsidRPr="003852C4">
        <w:t>Do ceny jsou zahrnuty veškeré náklady prodávajícího v souvislosti s dodávkou zboží se všemi jeho součástmi a příslušenstvím v souladu s </w:t>
      </w:r>
      <w:r w:rsidRPr="003852C4">
        <w:rPr>
          <w:u w:val="single"/>
        </w:rPr>
        <w:t>přílohou 2</w:t>
      </w:r>
      <w:r w:rsidRPr="003852C4">
        <w:t xml:space="preserve"> této smlouvy, včetně správních poplatků, daní (vyjma DPH), cla, schvalovacích řízení, provedení předepsaných zkoušek, 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00264E05">
        <w:t>V souladu s </w:t>
      </w:r>
      <w:r w:rsidR="00264E05" w:rsidRPr="00952286">
        <w:rPr>
          <w:u w:val="single"/>
        </w:rPr>
        <w:t>přílo</w:t>
      </w:r>
      <w:r w:rsidR="00264E05">
        <w:rPr>
          <w:u w:val="single"/>
        </w:rPr>
        <w:t>hou</w:t>
      </w:r>
      <w:r w:rsidR="00264E05" w:rsidRPr="00952286">
        <w:rPr>
          <w:u w:val="single"/>
        </w:rPr>
        <w:t xml:space="preserve"> </w:t>
      </w:r>
      <w:r w:rsidR="00264E05">
        <w:rPr>
          <w:u w:val="single"/>
        </w:rPr>
        <w:t>7</w:t>
      </w:r>
      <w:r w:rsidR="00264E05">
        <w:t xml:space="preserve"> této smlouvy může docházet k úpravě základní jednotkové ceny za tunu (tj. 1 000 kg) stožárové konstrukce, a to podle výpočtového vzorce (algoritmu) a v časových intervalech uvedených tamtéž. Úprava ceny bude provedena písemným dodatkem k této smlouvě a požádá o ni strana, která má o tuto změnu zájem. Druhá smluvní strana je oprávněna přezkoumat požadavek na úpravu ceny, avšak v případě, že se </w:t>
      </w:r>
      <w:r w:rsidR="00264E05">
        <w:lastRenderedPageBreak/>
        <w:t xml:space="preserve">tento požadavek ukáže jako oprávněný, je povinna ho akceptovat, a to do 10 pracovních dnů od obdržení požadavku na úpravu ceny.  Požadavek na úpravu základní jednotkové ceny lze pro následující období </w:t>
      </w:r>
      <w:r w:rsidR="00264E05" w:rsidRPr="00CD700E">
        <w:t>zaslat</w:t>
      </w:r>
      <w:r w:rsidR="00264E05">
        <w:t xml:space="preserve"> nejpozději do 20. kalendářního dne v měsíci. Nová jednotková cena pak bude platná a účinná k prvnímu dni měsíce následujícího po měsíci, v němž byl uzavřen dodatek upravující základní jednotkovou cenu. </w:t>
      </w:r>
    </w:p>
    <w:p w14:paraId="37AFC17A" w14:textId="77777777" w:rsidR="002E1F3C" w:rsidRPr="003852C4" w:rsidRDefault="002E1F3C" w:rsidP="002E1F3C">
      <w:pPr>
        <w:pStyle w:val="odstavec"/>
      </w:pPr>
      <w:r w:rsidRPr="003852C4">
        <w:t>Rozhodným dnem pro fakturaci (použití výše jednotkové ceny v souladu s tímto čl. III. odst. 1, popřípadě odst. 2) je pak den uskutečnění zdanitelného plnění.</w:t>
      </w:r>
    </w:p>
    <w:p w14:paraId="6C9E4959" w14:textId="77777777" w:rsidR="002E1F3C" w:rsidRPr="003852C4" w:rsidRDefault="002E1F3C" w:rsidP="002E1F3C">
      <w:pPr>
        <w:pStyle w:val="odstavec"/>
      </w:pPr>
      <w:r w:rsidRPr="003852C4">
        <w:t xml:space="preserve">K ceně je prodávající oprávněn připočíst pouze příslušnou DPH v souladu s použitelnými právními předpisy. Datem zdanitelného plnění se rozumí den dodání zboží. </w:t>
      </w:r>
    </w:p>
    <w:p w14:paraId="0F70C7FB" w14:textId="77777777" w:rsidR="002E1F3C" w:rsidRPr="003852C4" w:rsidRDefault="002E1F3C" w:rsidP="002E1F3C">
      <w:pPr>
        <w:pStyle w:val="odstavec"/>
      </w:pPr>
      <w:r w:rsidRPr="003852C4">
        <w:t>Smluvní strany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211845">
        <w:t>IV</w:t>
      </w:r>
      <w:r w:rsidRPr="003852C4">
        <w:t xml:space="preserve">. odst. </w:t>
      </w:r>
      <w:r w:rsidR="00211845">
        <w:t>8</w:t>
      </w:r>
      <w:r w:rsidRPr="003852C4">
        <w:t xml:space="preserve">. této smlouvy, přičemž údaje na faktuře musí být v souladu s vydaným dodacím listem. Splatnost ceny zboží dle příslušné faktury je dohodnuta na 60 kalendářních dnů od předání příslušné faktury kupujícímu. </w:t>
      </w:r>
    </w:p>
    <w:p w14:paraId="74B4AA58" w14:textId="77777777" w:rsidR="002E1F3C" w:rsidRPr="003852C4" w:rsidRDefault="002E1F3C" w:rsidP="002E1F3C">
      <w:pPr>
        <w:pStyle w:val="odstavec"/>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211845">
        <w:t>IV</w:t>
      </w:r>
      <w:r w:rsidRPr="003852C4">
        <w:t xml:space="preserve">. odst. </w:t>
      </w:r>
      <w:r w:rsidR="00211845">
        <w:t>8</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51F7DAB8" w14:textId="133A0325" w:rsidR="002E1F3C" w:rsidRPr="003852C4" w:rsidRDefault="002E1F3C" w:rsidP="002E1F3C">
      <w:pPr>
        <w:pStyle w:val="odstavec"/>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hyperlink r:id="rId9" w:history="1">
        <w:r w:rsidR="00D3190C" w:rsidRPr="00975281">
          <w:rPr>
            <w:rStyle w:val="Hypertextovodkaz"/>
          </w:rPr>
          <w:t>faktury@egd.cz</w:t>
        </w:r>
      </w:hyperlink>
      <w:r w:rsidR="00D3190C">
        <w:t>.</w:t>
      </w:r>
      <w:r w:rsidRPr="003852C4">
        <w:t xml:space="preserve"> V případě odeslání faktury na e-mailovou adresu </w:t>
      </w:r>
      <w:r w:rsidRPr="00D3190C">
        <w:rPr>
          <w:rStyle w:val="Hypertextovodkaz"/>
        </w:rPr>
        <w:t>faktury@</w:t>
      </w:r>
      <w:r w:rsidR="00456181" w:rsidRPr="00D3190C">
        <w:rPr>
          <w:rStyle w:val="Hypertextovodkaz"/>
        </w:rPr>
        <w:t>egd</w:t>
      </w:r>
      <w:r w:rsidRPr="00D3190C">
        <w:rPr>
          <w:rStyle w:val="Hypertextovodkaz"/>
        </w:rPr>
        <w:t>.cz</w:t>
      </w:r>
      <w:r w:rsidRPr="003852C4">
        <w:t xml:space="preserve"> může e-mail obsahovat pouze jeden přiložený dokument ve formátu PDF, jehož součástí by měla být jedna faktura včetně příloh o velikosti maximálně 10 MB. </w:t>
      </w:r>
    </w:p>
    <w:p w14:paraId="2C8E9C49" w14:textId="77777777" w:rsidR="002E1F3C" w:rsidRPr="003852C4" w:rsidRDefault="002E1F3C" w:rsidP="002E1F3C">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760E7562" w14:textId="19B9E09C" w:rsidR="002E1F3C" w:rsidRDefault="002E1F3C" w:rsidP="002E1F3C">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0AEA71AE" w14:textId="57C1D93A" w:rsidR="008733D0" w:rsidRDefault="00D3190C" w:rsidP="002E1F3C">
      <w:pPr>
        <w:pStyle w:val="odstavec"/>
      </w:pPr>
      <w:r w:rsidRPr="00D319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w:t>
      </w:r>
      <w:r w:rsidR="00C63363">
        <w:t>5</w:t>
      </w:r>
      <w:r w:rsidRPr="00D3190C">
        <w:t xml:space="preserve">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42B76F45" w14:textId="6B3AF0E8" w:rsidR="000617D9" w:rsidRPr="003852C4" w:rsidRDefault="000617D9" w:rsidP="002E1F3C">
      <w:pPr>
        <w:pStyle w:val="odstavec"/>
      </w:pPr>
      <w:r w:rsidRPr="000617D9">
        <w:t xml:space="preserve">V případě, že bude </w:t>
      </w:r>
      <w:r>
        <w:t>Kupující</w:t>
      </w:r>
      <w:r w:rsidRPr="000617D9">
        <w:t xml:space="preserve"> zcela nebo zčásti v prodlení s úhradou odměny, je </w:t>
      </w:r>
      <w:r>
        <w:t>Prodávající</w:t>
      </w:r>
      <w:r w:rsidRPr="000617D9">
        <w:t xml:space="preserve"> povinen tuto skutečnost </w:t>
      </w:r>
      <w:r>
        <w:t>Kupujícímu</w:t>
      </w:r>
      <w:r w:rsidRPr="000617D9">
        <w:t xml:space="preserve"> písemně oznámit a stanovit mu dodatečnou lhůtu splatnosti, která nesmí být kratší než 5 dní od doručení takového oznámí. Pouze v případě, že </w:t>
      </w:r>
      <w:r>
        <w:t>Kupující</w:t>
      </w:r>
      <w:r w:rsidRPr="000617D9">
        <w:t xml:space="preserve"> neuhradí dlužnou částku ani v této dodatečné lhůtě, je </w:t>
      </w:r>
      <w:r>
        <w:t>Prodávající</w:t>
      </w:r>
      <w:r w:rsidRPr="000617D9">
        <w:t xml:space="preserve"> oprávněn mu účtovat úrok z prodlení v zákonné výši.</w:t>
      </w:r>
    </w:p>
    <w:p w14:paraId="23BA1AC7" w14:textId="77777777" w:rsidR="002E1F3C" w:rsidRPr="003852C4" w:rsidRDefault="002E1F3C" w:rsidP="002E1F3C">
      <w:pPr>
        <w:pStyle w:val="Zkladntext"/>
        <w:spacing w:line="280" w:lineRule="atLeast"/>
        <w:jc w:val="both"/>
        <w:rPr>
          <w:rFonts w:ascii="Arial" w:hAnsi="Arial"/>
          <w:color w:val="auto"/>
          <w:sz w:val="20"/>
        </w:rPr>
      </w:pPr>
    </w:p>
    <w:p w14:paraId="35A2069B" w14:textId="77777777" w:rsidR="002E1F3C" w:rsidRPr="003852C4" w:rsidRDefault="002E1F3C" w:rsidP="002E1F3C">
      <w:pPr>
        <w:spacing w:line="280" w:lineRule="atLeast"/>
        <w:jc w:val="both"/>
        <w:rPr>
          <w:rFonts w:cs="Arial"/>
          <w:szCs w:val="20"/>
        </w:rPr>
      </w:pPr>
    </w:p>
    <w:p w14:paraId="23E438A2" w14:textId="77777777" w:rsidR="002E1F3C" w:rsidRPr="003852C4" w:rsidRDefault="002E1F3C" w:rsidP="002E1F3C">
      <w:pPr>
        <w:spacing w:line="280" w:lineRule="atLeast"/>
        <w:jc w:val="center"/>
        <w:rPr>
          <w:rFonts w:cs="Arial"/>
          <w:b/>
          <w:szCs w:val="20"/>
        </w:rPr>
      </w:pPr>
      <w:r w:rsidRPr="003852C4">
        <w:rPr>
          <w:rFonts w:cs="Arial"/>
          <w:b/>
          <w:szCs w:val="20"/>
        </w:rPr>
        <w:t>IV.</w:t>
      </w:r>
    </w:p>
    <w:p w14:paraId="055D6DE8"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C4E0298" w14:textId="77777777" w:rsidR="002E1F3C" w:rsidRPr="003852C4" w:rsidRDefault="002E1F3C" w:rsidP="002E1F3C">
      <w:pPr>
        <w:spacing w:line="280" w:lineRule="atLeast"/>
        <w:jc w:val="center"/>
        <w:rPr>
          <w:rFonts w:cs="Arial"/>
          <w:b/>
          <w:szCs w:val="20"/>
        </w:rPr>
      </w:pPr>
    </w:p>
    <w:p w14:paraId="07C66C98" w14:textId="77777777" w:rsidR="002E1F3C" w:rsidRPr="003852C4" w:rsidRDefault="002E1F3C" w:rsidP="002E1F3C">
      <w:pPr>
        <w:pStyle w:val="odstavec"/>
        <w:numPr>
          <w:ilvl w:val="0"/>
          <w:numId w:val="12"/>
        </w:numPr>
        <w:rPr>
          <w:lang w:eastAsia="en-US"/>
        </w:rPr>
      </w:pPr>
      <w:bookmarkStart w:id="2" w:name="_Ref264908281"/>
      <w:r w:rsidRPr="003852C4">
        <w:rPr>
          <w:lang w:eastAsia="en-US"/>
        </w:rPr>
        <w:t>Kupující má právo kdykoli po dobu trvání této smlouvy zaslat prodávajícímu výzvu k plnění, učiněnou písemně nebo e-mailem a zaslanou prodávajícímu prostřednictvím pověřených osob a údajů uvedených v této smlouvě.</w:t>
      </w:r>
      <w:bookmarkEnd w:id="2"/>
    </w:p>
    <w:p w14:paraId="6240C1EF" w14:textId="77777777" w:rsidR="00FB3897" w:rsidRPr="003852C4" w:rsidRDefault="00FB3897" w:rsidP="00FB3897">
      <w:pPr>
        <w:pStyle w:val="odstavec"/>
        <w:numPr>
          <w:ilvl w:val="0"/>
          <w:numId w:val="12"/>
        </w:numPr>
        <w:spacing w:before="0" w:after="0"/>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695CC8EF" w14:textId="77777777"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jakož i místo plnění. </w:t>
      </w:r>
    </w:p>
    <w:p w14:paraId="2795743C" w14:textId="77777777" w:rsidR="00832DC1" w:rsidRPr="003852C4" w:rsidRDefault="00832DC1" w:rsidP="00832DC1">
      <w:pPr>
        <w:pStyle w:val="odstavec"/>
      </w:pPr>
      <w:r w:rsidRPr="003852C4">
        <w:t xml:space="preserve">Výzvu k plnění musí kupující prodávajícímu doručit v souladu s touto smlouvou nejpozději 6 týdnů (v případě spodních </w:t>
      </w:r>
      <w:proofErr w:type="gramStart"/>
      <w:r w:rsidRPr="003852C4">
        <w:t>dílů - patek</w:t>
      </w:r>
      <w:proofErr w:type="gramEnd"/>
      <w:r w:rsidRPr="003852C4">
        <w:t xml:space="preserve">), resp. 8 týdnů (v případě horních dílů) před termínem dodání (nejzazší dobou plnění) dle této smlouvy. Prodávající je povinen neprodleně potvrdit výzvu k plnění, nebo vznést své výhrady k ní způsobem dle této smlouvy; potvrzení výzvy k plnění, nebo vznesení výhrad k ní nezbavuje nicméně prodávajícího povinnosti dodat zboží v souladu s touto smlouvou. </w:t>
      </w:r>
    </w:p>
    <w:p w14:paraId="2B98DB7E" w14:textId="77777777" w:rsidR="00691316" w:rsidRPr="003852C4" w:rsidRDefault="00691316" w:rsidP="00017B95">
      <w:pPr>
        <w:pStyle w:val="odstavec"/>
        <w:rPr>
          <w:lang w:eastAsia="en-US"/>
        </w:rPr>
      </w:pPr>
      <w:r w:rsidRPr="003852C4">
        <w:rPr>
          <w:lang w:eastAsia="en-US"/>
        </w:rPr>
        <w:t xml:space="preserve">Prodávající je povinen písemně nebo e-mailem oznámit neprodleně kupujícímu doručení výzvy k plnění. Pro vyloučení všech pochybností oznámení či neoznámení o doručení výzvy k plnění prodávajícímu dle předchozí věty se nedotýká povinnosti prodávajícího plnit dle čl. II. odst. </w:t>
      </w:r>
      <w:r w:rsidR="00211845">
        <w:rPr>
          <w:lang w:eastAsia="en-US"/>
        </w:rPr>
        <w:t>2</w:t>
      </w:r>
      <w:r w:rsidRPr="003852C4">
        <w:rPr>
          <w:lang w:eastAsia="en-US"/>
        </w:rPr>
        <w:t>,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2229455F" w14:textId="77777777" w:rsidR="00832DC1" w:rsidRPr="003852C4" w:rsidRDefault="00832DC1" w:rsidP="00832DC1">
      <w:pPr>
        <w:pStyle w:val="odstavec"/>
      </w:pPr>
      <w:r w:rsidRPr="003852C4">
        <w:t>Prodávající je povinen avizovat kupujícímu předem realizaci každé zamýšlené dodávky požadované kupujícím na základě výzvy kupujícího dle předchozího odstavce, a to emailem na adresy kontaktních osob uvedené ve výzvě k plnění (dále jen „</w:t>
      </w:r>
      <w:r w:rsidRPr="003852C4">
        <w:rPr>
          <w:b/>
        </w:rPr>
        <w:t>avízo o dodání</w:t>
      </w:r>
      <w:r w:rsidRPr="003852C4">
        <w:t xml:space="preserve">“). Avízo o dodání musí prodávající učinit vůči kupujícímu nebo jeho zástupci alespoň 5 pracovních dnů před zamýšleným uskutečněním požadované dodávky. Avízo o dodání musí obsahovat nejméně označení této smlouvy, typ dodávaného zboží, jeho množství a den plánovaného dodání, jinak není kupující nebo jeho zástupce povinen dodávané zboží převzít. Ustanoveními o avízu o dodání není dotčena povinnost prodávajícího dodat zboží včas dle výzvy kupujícího a této smlouvy. </w:t>
      </w:r>
    </w:p>
    <w:p w14:paraId="245703C3" w14:textId="2F8E0E9C" w:rsidR="00832DC1" w:rsidRPr="003852C4" w:rsidRDefault="00832DC1" w:rsidP="00832DC1">
      <w:pPr>
        <w:pStyle w:val="odstavec"/>
      </w:pPr>
      <w:r w:rsidRPr="003852C4">
        <w:t>Kupující nebo zástupce kupujícího je povinen dodané zboží při převzetí zběžně prohlédnout a případné vady či nedostatky poznatelné zběžnou, nikoli podrobnou prohlídkou zboží vytknout v dodacím listu. Prodávající je povinen dodat s požadovaným zbožím vždy všechny dokumenty, součásti či příslušenství vztahující se ke zboží</w:t>
      </w:r>
      <w:r w:rsidR="00705659">
        <w:t>.</w:t>
      </w:r>
    </w:p>
    <w:p w14:paraId="393816CC" w14:textId="77777777" w:rsidR="00832DC1" w:rsidRPr="00E776F0" w:rsidRDefault="00832DC1" w:rsidP="00832DC1">
      <w:pPr>
        <w:pStyle w:val="odstavec"/>
      </w:pPr>
      <w:r w:rsidRPr="00E776F0">
        <w:t>Při dodání zboží bude prodávajícím vystaven a kupujícímu předán dodací list potvrzený zástupci prodávajícího a kupujícího, který bude obsahovat nejméně následující údaje:</w:t>
      </w:r>
    </w:p>
    <w:p w14:paraId="37CF6A79" w14:textId="77777777" w:rsidR="00832DC1" w:rsidRPr="00E776F0" w:rsidRDefault="00832DC1" w:rsidP="00832DC1">
      <w:pPr>
        <w:pStyle w:val="Odstavecseseznamem"/>
        <w:rPr>
          <w:rFonts w:cs="Arial"/>
          <w:szCs w:val="20"/>
        </w:rPr>
      </w:pPr>
    </w:p>
    <w:p w14:paraId="2B34800C" w14:textId="77777777" w:rsidR="00832DC1" w:rsidRPr="00E776F0" w:rsidRDefault="00832DC1" w:rsidP="00832DC1">
      <w:pPr>
        <w:numPr>
          <w:ilvl w:val="1"/>
          <w:numId w:val="2"/>
        </w:numPr>
        <w:jc w:val="both"/>
        <w:rPr>
          <w:rFonts w:cs="Arial"/>
          <w:szCs w:val="20"/>
        </w:rPr>
      </w:pPr>
      <w:r w:rsidRPr="00E776F0">
        <w:rPr>
          <w:rFonts w:cs="Arial"/>
          <w:szCs w:val="20"/>
        </w:rPr>
        <w:t>identifikační údaje (firma, IČO, sídlo, odkaz na zápis ve veřejném rejstříku) smluvních stran;</w:t>
      </w:r>
    </w:p>
    <w:p w14:paraId="182108E7" w14:textId="77777777" w:rsidR="00832DC1" w:rsidRPr="00E776F0" w:rsidRDefault="00832DC1" w:rsidP="00832DC1">
      <w:pPr>
        <w:ind w:left="1420"/>
        <w:jc w:val="both"/>
        <w:rPr>
          <w:rFonts w:cs="Arial"/>
          <w:szCs w:val="20"/>
        </w:rPr>
      </w:pPr>
    </w:p>
    <w:p w14:paraId="465F56C4" w14:textId="77777777" w:rsidR="00832DC1" w:rsidRPr="00E776F0" w:rsidRDefault="00832DC1" w:rsidP="00832DC1">
      <w:pPr>
        <w:numPr>
          <w:ilvl w:val="1"/>
          <w:numId w:val="2"/>
        </w:numPr>
        <w:jc w:val="both"/>
        <w:rPr>
          <w:rFonts w:cs="Arial"/>
          <w:szCs w:val="20"/>
        </w:rPr>
      </w:pPr>
      <w:r w:rsidRPr="00E776F0">
        <w:rPr>
          <w:rFonts w:cs="Arial"/>
          <w:szCs w:val="20"/>
        </w:rPr>
        <w:t>datum dodání zboží;</w:t>
      </w:r>
    </w:p>
    <w:p w14:paraId="529076AB" w14:textId="77777777" w:rsidR="00832DC1" w:rsidRPr="00E776F0" w:rsidRDefault="00832DC1" w:rsidP="00832DC1">
      <w:pPr>
        <w:pStyle w:val="Odstavecseseznamem"/>
        <w:rPr>
          <w:rFonts w:cs="Arial"/>
          <w:szCs w:val="20"/>
        </w:rPr>
      </w:pPr>
    </w:p>
    <w:p w14:paraId="0B255351" w14:textId="77777777" w:rsidR="00832DC1" w:rsidRPr="00E776F0" w:rsidRDefault="00832DC1" w:rsidP="00832DC1">
      <w:pPr>
        <w:numPr>
          <w:ilvl w:val="1"/>
          <w:numId w:val="2"/>
        </w:numPr>
        <w:jc w:val="both"/>
        <w:rPr>
          <w:rFonts w:cs="Arial"/>
          <w:szCs w:val="20"/>
        </w:rPr>
      </w:pPr>
      <w:r w:rsidRPr="00E776F0">
        <w:rPr>
          <w:rFonts w:cs="Arial"/>
          <w:szCs w:val="20"/>
        </w:rPr>
        <w:t>číslo výzvy k plnění;</w:t>
      </w:r>
    </w:p>
    <w:p w14:paraId="31FA120F" w14:textId="77777777" w:rsidR="00832DC1" w:rsidRPr="00E776F0" w:rsidRDefault="00832DC1" w:rsidP="00832DC1">
      <w:pPr>
        <w:ind w:left="1420"/>
        <w:jc w:val="both"/>
        <w:rPr>
          <w:rFonts w:cs="Arial"/>
          <w:szCs w:val="20"/>
        </w:rPr>
      </w:pPr>
    </w:p>
    <w:p w14:paraId="619395CD" w14:textId="0192C7E7" w:rsidR="00832DC1" w:rsidRPr="00E776F0" w:rsidRDefault="00E776F0" w:rsidP="00832DC1">
      <w:pPr>
        <w:numPr>
          <w:ilvl w:val="1"/>
          <w:numId w:val="2"/>
        </w:numPr>
        <w:jc w:val="both"/>
        <w:rPr>
          <w:rFonts w:cs="Arial"/>
          <w:szCs w:val="20"/>
        </w:rPr>
      </w:pPr>
      <w:r w:rsidRPr="00E776F0">
        <w:rPr>
          <w:rFonts w:cs="Arial"/>
          <w:szCs w:val="20"/>
        </w:rPr>
        <w:t>specifikaci dodávaného zboží, zejména název linky, rozsah daného úseku (dle čísel podpěrných bodů, případně doplněný názvem stavby či etapy), číslo podpěrného bodu daného stožáru nebo konstrukce, typ stožáru, výška stožáru, typová řada, typ a počet částí stožáru, hmotnost stožáru;</w:t>
      </w:r>
    </w:p>
    <w:p w14:paraId="75E6B6D5" w14:textId="77777777" w:rsidR="00832DC1" w:rsidRPr="00E776F0" w:rsidRDefault="00832DC1" w:rsidP="00832DC1">
      <w:pPr>
        <w:ind w:left="1420"/>
        <w:jc w:val="both"/>
        <w:rPr>
          <w:rFonts w:cs="Arial"/>
          <w:szCs w:val="20"/>
        </w:rPr>
      </w:pPr>
    </w:p>
    <w:p w14:paraId="2F00EFA8" w14:textId="77777777" w:rsidR="00832DC1" w:rsidRPr="00E776F0" w:rsidRDefault="00832DC1" w:rsidP="00832DC1">
      <w:pPr>
        <w:numPr>
          <w:ilvl w:val="1"/>
          <w:numId w:val="2"/>
        </w:numPr>
        <w:jc w:val="both"/>
        <w:rPr>
          <w:rFonts w:cs="Arial"/>
          <w:szCs w:val="20"/>
        </w:rPr>
      </w:pPr>
      <w:r w:rsidRPr="00E776F0">
        <w:rPr>
          <w:rFonts w:cs="Arial"/>
          <w:szCs w:val="20"/>
        </w:rPr>
        <w:t>informaci o obalech, ve kterých bylo zboží dodáno, zda jsou tyto obaly vratné, nebo nevratné, a to v souladu s </w:t>
      </w:r>
      <w:r w:rsidRPr="00E776F0">
        <w:rPr>
          <w:rFonts w:cs="Arial"/>
          <w:szCs w:val="20"/>
          <w:u w:val="single"/>
        </w:rPr>
        <w:t xml:space="preserve">přílohou </w:t>
      </w:r>
      <w:r w:rsidR="00017B95" w:rsidRPr="00E776F0">
        <w:rPr>
          <w:rFonts w:cs="Arial"/>
          <w:szCs w:val="20"/>
          <w:u w:val="single"/>
        </w:rPr>
        <w:t>5</w:t>
      </w:r>
      <w:r w:rsidRPr="00E776F0">
        <w:rPr>
          <w:rFonts w:cs="Arial"/>
          <w:szCs w:val="20"/>
        </w:rPr>
        <w:t xml:space="preserve"> této smlouvy;</w:t>
      </w:r>
    </w:p>
    <w:p w14:paraId="51F6D79F" w14:textId="77777777" w:rsidR="00832DC1" w:rsidRPr="00E776F0" w:rsidRDefault="00832DC1" w:rsidP="00832DC1">
      <w:pPr>
        <w:pStyle w:val="Odstavecseseznamem"/>
        <w:rPr>
          <w:rFonts w:cs="Arial"/>
          <w:szCs w:val="20"/>
        </w:rPr>
      </w:pPr>
    </w:p>
    <w:p w14:paraId="05BAD591" w14:textId="77777777" w:rsidR="00832DC1" w:rsidRPr="00E776F0" w:rsidRDefault="00832DC1" w:rsidP="00832DC1">
      <w:pPr>
        <w:numPr>
          <w:ilvl w:val="1"/>
          <w:numId w:val="2"/>
        </w:numPr>
        <w:jc w:val="both"/>
        <w:rPr>
          <w:rFonts w:cs="Arial"/>
          <w:szCs w:val="20"/>
        </w:rPr>
      </w:pPr>
      <w:r w:rsidRPr="00E776F0">
        <w:rPr>
          <w:rFonts w:cs="Arial"/>
          <w:szCs w:val="20"/>
        </w:rPr>
        <w:t>případné výtky kupujícího k vlastnostem a množství dodaného zboží na základě běžné prohlídky dodaného zboží;</w:t>
      </w:r>
    </w:p>
    <w:p w14:paraId="6B9FD73E" w14:textId="77777777" w:rsidR="00832DC1" w:rsidRPr="00E776F0" w:rsidRDefault="00832DC1" w:rsidP="00832DC1">
      <w:pPr>
        <w:pStyle w:val="Odstavecseseznamem"/>
        <w:rPr>
          <w:rFonts w:cs="Arial"/>
          <w:szCs w:val="20"/>
        </w:rPr>
      </w:pPr>
    </w:p>
    <w:p w14:paraId="6E114EDF" w14:textId="77777777" w:rsidR="00832DC1" w:rsidRPr="00E776F0" w:rsidRDefault="00832DC1" w:rsidP="00832DC1">
      <w:pPr>
        <w:numPr>
          <w:ilvl w:val="1"/>
          <w:numId w:val="2"/>
        </w:numPr>
        <w:jc w:val="both"/>
        <w:rPr>
          <w:rFonts w:cs="Arial"/>
          <w:szCs w:val="20"/>
        </w:rPr>
      </w:pPr>
      <w:r w:rsidRPr="00E776F0">
        <w:rPr>
          <w:rFonts w:cs="Arial"/>
          <w:szCs w:val="20"/>
        </w:rPr>
        <w:t>podpisy oprávněných zástupců smluvních stran.</w:t>
      </w:r>
    </w:p>
    <w:p w14:paraId="290BA9D7" w14:textId="77777777" w:rsidR="00832DC1" w:rsidRPr="00E776F0" w:rsidRDefault="00832DC1" w:rsidP="00832DC1">
      <w:pPr>
        <w:pStyle w:val="Odstavecseseznamem"/>
        <w:rPr>
          <w:rFonts w:cs="Arial"/>
          <w:szCs w:val="20"/>
        </w:rPr>
      </w:pPr>
    </w:p>
    <w:p w14:paraId="3F7F5514" w14:textId="77777777" w:rsidR="00832DC1" w:rsidRPr="003852C4" w:rsidRDefault="00832DC1" w:rsidP="00832DC1">
      <w:pPr>
        <w:spacing w:line="280" w:lineRule="atLeast"/>
        <w:ind w:left="340"/>
        <w:jc w:val="both"/>
        <w:rPr>
          <w:rFonts w:cs="Arial"/>
          <w:szCs w:val="20"/>
        </w:rPr>
      </w:pPr>
      <w:r w:rsidRPr="00E776F0">
        <w:rPr>
          <w:rFonts w:cs="Arial"/>
          <w:szCs w:val="20"/>
        </w:rPr>
        <w:t>Není-li kupujícímu předán dodací list v souladu s touto smlouvou, není kupující povinen dodané zboží převzít.</w:t>
      </w:r>
    </w:p>
    <w:p w14:paraId="12EFAE0B" w14:textId="19FADF98"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vhodné nebo dokonce nutné použít jeřáb, disponoval zástupce dopravce platným oprávněním k vázání břemen. </w:t>
      </w:r>
    </w:p>
    <w:p w14:paraId="0FF4A44E"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375002AD"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1383857C" w14:textId="77777777" w:rsidR="00832DC1" w:rsidRPr="00017B95" w:rsidRDefault="00832DC1" w:rsidP="00017B95">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37A4A955" w14:textId="77777777" w:rsidR="002E1F3C" w:rsidRPr="002B57DC" w:rsidRDefault="002E1F3C" w:rsidP="002E1F3C">
      <w:pPr>
        <w:pStyle w:val="odstavec"/>
      </w:pPr>
      <w:r>
        <w:t>Prodávající</w:t>
      </w:r>
      <w:r w:rsidRPr="000E73ED">
        <w:t xml:space="preserve"> je povinen zabezpečit dodávku </w:t>
      </w:r>
      <w:r>
        <w:t>zboží dle této smlouvy a v souladu s ní, dle výzev k plnění, jakož i dle příslušných právních předpisů, zejména NOZ.</w:t>
      </w:r>
      <w:r w:rsidRPr="000E73ED">
        <w:t xml:space="preserve"> </w:t>
      </w:r>
      <w:r>
        <w:t>Prodávající</w:t>
      </w:r>
      <w:r w:rsidRPr="000E73ED">
        <w:t xml:space="preserve"> je povinen zajistit </w:t>
      </w:r>
      <w:r>
        <w:t>oznámení o doručení výzvy k plnění prodávajícímu, jakož i dodávku zboží dle ní</w:t>
      </w:r>
      <w:r w:rsidRPr="000E73ED">
        <w:t xml:space="preserve"> tak, aby nedošlo k ohrožení </w:t>
      </w:r>
      <w:r>
        <w:t xml:space="preserve">dodacích </w:t>
      </w:r>
      <w:r w:rsidRPr="000E73ED">
        <w:t>termínů stanovených touto smlouvou</w:t>
      </w:r>
      <w:r>
        <w:t xml:space="preserve"> či výzvou k plnění v souladu s touto smlouvou</w:t>
      </w:r>
      <w:r w:rsidRPr="000E73ED">
        <w:t xml:space="preserve">. </w:t>
      </w:r>
    </w:p>
    <w:p w14:paraId="43010010" w14:textId="5F132C6F" w:rsidR="002E1F3C" w:rsidRPr="00766808" w:rsidRDefault="002E1F3C" w:rsidP="002E1F3C">
      <w:pPr>
        <w:pStyle w:val="odstavec"/>
      </w:pPr>
      <w:r w:rsidRPr="00CD700E">
        <w:rPr>
          <w:u w:val="single"/>
        </w:rPr>
        <w:t xml:space="preserve">Příloha </w:t>
      </w:r>
      <w:r w:rsidR="00017B95">
        <w:rPr>
          <w:u w:val="single"/>
        </w:rPr>
        <w:t>6</w:t>
      </w:r>
      <w:r>
        <w:t xml:space="preserve"> této smlouvy obsahuje česky, popřípadě slovensky hovořící kontaktní osobu či osoby prodávajícího ve věcech technických, obchodních a</w:t>
      </w:r>
      <w:r w:rsidR="00E0545E">
        <w:t xml:space="preserve"> zajišťující komunikaci </w:t>
      </w:r>
      <w:r w:rsidR="00E0545E" w:rsidRPr="00E0545E">
        <w:t>(objednávky, odvolávky, dodací listy, logistika, reklamace)</w:t>
      </w:r>
      <w:r>
        <w:t>. Kupující bude ohledně plnění této smlouvy komunikovat výhradně s osobou či osobami uvedenými v </w:t>
      </w:r>
      <w:r w:rsidRPr="00CD700E">
        <w:rPr>
          <w:u w:val="single"/>
        </w:rPr>
        <w:t xml:space="preserve">příloze </w:t>
      </w:r>
      <w:r w:rsidR="00017B95">
        <w:rPr>
          <w:u w:val="single"/>
        </w:rPr>
        <w:t>6</w:t>
      </w:r>
      <w:r>
        <w:t xml:space="preserve"> této smlouvy, zejména bude prostřednictvím této osoby či osob oprávněn zasílat prodávajícímu jednotlivé výzvy k plnění (poptávat plnění), řešit uplatnění práv z vadného plnění a reklamace, </w:t>
      </w:r>
      <w:proofErr w:type="gramStart"/>
      <w:r>
        <w:t>havárie,</w:t>
      </w:r>
      <w:proofErr w:type="gramEnd"/>
      <w:r>
        <w:t xml:space="preserve"> apod. Komunikace s touto kontaktní osobou či osobami bude probíhat výhradně v českém, případně slovenském jazyce.</w:t>
      </w:r>
    </w:p>
    <w:p w14:paraId="186C4C04" w14:textId="77777777" w:rsidR="002E1F3C" w:rsidRDefault="002E1F3C" w:rsidP="002E1F3C">
      <w:pPr>
        <w:pStyle w:val="odstavec"/>
      </w:pPr>
      <w:r>
        <w:t>Kupující je oprávněn vyžádat si</w:t>
      </w:r>
      <w:r w:rsidRPr="00E85ACF">
        <w:t xml:space="preserve"> </w:t>
      </w:r>
      <w:r>
        <w:t xml:space="preserve">v místě plnění smlouvy (dodání zboží) a v termínu stanoveném kupujícím přítomnost česky, případně slovensky hovořícího zástupce prodávajícího znalého technického řešení předmětu dílčí dodávky dle této smlouvy, to však nejvýše jedenkrát v rámci </w:t>
      </w:r>
      <w:r>
        <w:lastRenderedPageBreak/>
        <w:t xml:space="preserve">každé dílčí dodávky. Kupující je v takovém případě povinen oznámit tento požadavek prodávajícímu alespoň 1 týden před požadovaným termínem přítomnosti zástupce prodávajícího. </w:t>
      </w:r>
    </w:p>
    <w:p w14:paraId="0DAD0601" w14:textId="77777777" w:rsidR="002E1F3C" w:rsidRPr="004F3AD1" w:rsidRDefault="002E1F3C" w:rsidP="002E1F3C">
      <w:pPr>
        <w:pStyle w:val="Odstavecseseznamem"/>
      </w:pPr>
    </w:p>
    <w:p w14:paraId="41CC11F4" w14:textId="77777777" w:rsidR="002E1F3C" w:rsidRPr="00DA2C52" w:rsidRDefault="002E1F3C" w:rsidP="002E1F3C">
      <w:pPr>
        <w:spacing w:line="280" w:lineRule="atLeast"/>
        <w:jc w:val="both"/>
        <w:rPr>
          <w:rFonts w:cs="Arial"/>
          <w:szCs w:val="20"/>
        </w:rPr>
      </w:pPr>
    </w:p>
    <w:p w14:paraId="4CD9A351" w14:textId="77777777" w:rsidR="002E1F3C" w:rsidRPr="00DA2C52" w:rsidRDefault="002E1F3C" w:rsidP="002E1F3C">
      <w:pPr>
        <w:spacing w:line="280" w:lineRule="atLeast"/>
        <w:jc w:val="center"/>
        <w:rPr>
          <w:rFonts w:cs="Arial"/>
          <w:b/>
          <w:szCs w:val="20"/>
        </w:rPr>
      </w:pPr>
      <w:r w:rsidRPr="00DA2C52">
        <w:rPr>
          <w:rFonts w:cs="Arial"/>
          <w:b/>
          <w:szCs w:val="20"/>
        </w:rPr>
        <w:t>V.</w:t>
      </w:r>
    </w:p>
    <w:p w14:paraId="545B46EC"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4CBCA62C" w14:textId="77777777" w:rsidR="002E1F3C" w:rsidRPr="00DA2C52" w:rsidRDefault="002E1F3C" w:rsidP="002E1F3C">
      <w:pPr>
        <w:pStyle w:val="Zkladntext"/>
        <w:spacing w:line="280" w:lineRule="atLeast"/>
        <w:jc w:val="both"/>
        <w:rPr>
          <w:rFonts w:ascii="Arial" w:hAnsi="Arial" w:cs="Arial"/>
          <w:color w:val="auto"/>
          <w:sz w:val="20"/>
        </w:rPr>
      </w:pPr>
    </w:p>
    <w:p w14:paraId="7C3FC909" w14:textId="77777777" w:rsidR="002E1F3C" w:rsidRPr="00766808" w:rsidRDefault="002E1F3C" w:rsidP="002E1F3C">
      <w:pPr>
        <w:pStyle w:val="odstavec"/>
        <w:numPr>
          <w:ilvl w:val="0"/>
          <w:numId w:val="13"/>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3610636B" w14:textId="77777777" w:rsidR="002E1F3C" w:rsidRPr="00766808" w:rsidRDefault="002E1F3C" w:rsidP="002E1F3C">
      <w:pPr>
        <w:pStyle w:val="odstavec"/>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 i jiná ustanovení této smlouvy týkající se práv z vadného plnění a jejich uplatňování se použijí i pro práva ze záruky a jejich uplatňování.</w:t>
      </w:r>
    </w:p>
    <w:p w14:paraId="2DC2D12B"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5DF3B89" w14:textId="77777777"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5.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7FFBB33C"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7617F509" w14:textId="77777777" w:rsidR="002E1F3C" w:rsidRDefault="002E1F3C" w:rsidP="002E1F3C">
      <w:pPr>
        <w:pStyle w:val="Odstavecseseznamem"/>
        <w:rPr>
          <w:rFonts w:cs="Arial"/>
        </w:rPr>
      </w:pPr>
    </w:p>
    <w:p w14:paraId="10205E5F"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opravou zboží;</w:t>
      </w:r>
    </w:p>
    <w:p w14:paraId="44D11EFB" w14:textId="77777777" w:rsidR="002E1F3C" w:rsidRPr="00766808"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259E4D11"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44FF3C66" w14:textId="77777777" w:rsidR="002E1F3C" w:rsidRPr="00E2143F"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0EBCE9E0" w14:textId="77777777"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 7 pracovních dnů od jejich oznámení kupujícím, nebude-li mezi smluvními stranami dohodnuto něco</w:t>
      </w:r>
      <w:r w:rsidRPr="00766808">
        <w:t xml:space="preserve"> jiného. </w:t>
      </w:r>
    </w:p>
    <w:p w14:paraId="00650188" w14:textId="77777777" w:rsidR="002E1F3C" w:rsidRPr="00766808" w:rsidRDefault="002E1F3C" w:rsidP="002E1F3C">
      <w:pPr>
        <w:pStyle w:val="odstavec"/>
      </w:pPr>
      <w:r>
        <w:lastRenderedPageBreak/>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3DF87900" w14:textId="48608A6F"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p>
    <w:p w14:paraId="0046D07E"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37B92B52"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55BFAF72" w14:textId="77957706" w:rsidR="002E1F3C" w:rsidRPr="001A4C50" w:rsidRDefault="002E1F3C" w:rsidP="002E1F3C">
      <w:pPr>
        <w:pStyle w:val="odstavec"/>
      </w:pPr>
      <w:r>
        <w:t>Prodávající kupujíc</w:t>
      </w:r>
      <w:r w:rsidRPr="009177E3">
        <w:rPr>
          <w:rStyle w:val="odstavecChar"/>
          <w:rFonts w:eastAsiaTheme="majorEastAsia"/>
        </w:rPr>
        <w:t>í</w:t>
      </w:r>
      <w:r>
        <w:t>mu zaručuje životnost zboží alespoň 4</w:t>
      </w:r>
      <w:r w:rsidR="000D5F46">
        <w:t>5</w:t>
      </w:r>
      <w:r>
        <w:t xml:space="preserve"> let při zachování technických parametrů od doby využití zboží ke stanovenému účelu.</w:t>
      </w:r>
    </w:p>
    <w:p w14:paraId="35BA9BA8" w14:textId="771772C2"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52F23D71" w14:textId="77777777" w:rsidR="002E1F3C" w:rsidRDefault="002E1F3C" w:rsidP="004E39B3">
      <w:pPr>
        <w:spacing w:line="280" w:lineRule="atLeast"/>
        <w:rPr>
          <w:rFonts w:cs="Arial"/>
          <w:szCs w:val="20"/>
        </w:rPr>
      </w:pPr>
    </w:p>
    <w:p w14:paraId="322C07D8" w14:textId="77777777" w:rsidR="004E39B3" w:rsidRDefault="004E39B3" w:rsidP="002E1F3C">
      <w:pPr>
        <w:spacing w:beforeLines="50" w:before="120" w:line="280" w:lineRule="atLeast"/>
        <w:ind w:left="340"/>
        <w:jc w:val="center"/>
        <w:rPr>
          <w:rFonts w:cs="Arial"/>
          <w:b/>
          <w:szCs w:val="20"/>
        </w:rPr>
      </w:pPr>
    </w:p>
    <w:p w14:paraId="5E35C39B"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4F9DFEDA" w14:textId="77777777" w:rsidR="002E1F3C" w:rsidRDefault="002E1F3C" w:rsidP="002E1F3C">
      <w:pPr>
        <w:spacing w:line="280" w:lineRule="atLeast"/>
        <w:ind w:left="340"/>
        <w:jc w:val="center"/>
        <w:rPr>
          <w:rFonts w:cs="Arial"/>
          <w:b/>
          <w:szCs w:val="20"/>
        </w:rPr>
      </w:pPr>
      <w:r>
        <w:rPr>
          <w:rFonts w:cs="Arial"/>
          <w:b/>
          <w:szCs w:val="20"/>
        </w:rPr>
        <w:t>Smluvní pokuty</w:t>
      </w:r>
    </w:p>
    <w:p w14:paraId="7B46E076" w14:textId="77777777" w:rsidR="002E1F3C" w:rsidRDefault="002E1F3C" w:rsidP="002E1F3C">
      <w:pPr>
        <w:spacing w:line="280" w:lineRule="atLeast"/>
        <w:ind w:left="340"/>
        <w:jc w:val="center"/>
        <w:rPr>
          <w:rFonts w:cs="Arial"/>
          <w:b/>
          <w:szCs w:val="20"/>
        </w:rPr>
      </w:pPr>
    </w:p>
    <w:p w14:paraId="691E04F4" w14:textId="77777777" w:rsidR="00017B95" w:rsidRPr="00706810" w:rsidRDefault="00017B95" w:rsidP="00017B95">
      <w:pPr>
        <w:numPr>
          <w:ilvl w:val="0"/>
          <w:numId w:val="41"/>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sidR="00211845">
        <w:rPr>
          <w:rFonts w:cs="Arial"/>
          <w:szCs w:val="20"/>
        </w:rPr>
        <w:t>II</w:t>
      </w:r>
      <w:r w:rsidRPr="00D71308">
        <w:rPr>
          <w:rFonts w:cs="Arial"/>
          <w:szCs w:val="20"/>
        </w:rPr>
        <w:t xml:space="preserve">. odst. </w:t>
      </w:r>
      <w:r w:rsidR="00211845">
        <w:rPr>
          <w:rFonts w:cs="Arial"/>
          <w:szCs w:val="20"/>
        </w:rPr>
        <w:t>2</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3FB0E8AC" w14:textId="77777777" w:rsidR="00017B95" w:rsidRPr="00D71308"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00DAD4C5" w14:textId="77777777" w:rsidR="00017B95"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66214B94" w14:textId="77777777" w:rsidR="00017B95"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w:t>
      </w:r>
      <w:r>
        <w:rPr>
          <w:rFonts w:cs="Arial"/>
          <w:szCs w:val="20"/>
        </w:rPr>
        <w:t>VII</w:t>
      </w:r>
      <w:r w:rsidRPr="00706810">
        <w:rPr>
          <w:rFonts w:cs="Arial"/>
          <w:szCs w:val="20"/>
        </w:rPr>
        <w:t xml:space="preserve">. odst. </w:t>
      </w:r>
      <w:r>
        <w:rPr>
          <w:rFonts w:cs="Arial"/>
          <w:szCs w:val="20"/>
        </w:rPr>
        <w:t>4</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265D4795" w14:textId="2200852E" w:rsidR="00017B95" w:rsidRDefault="00017B95" w:rsidP="00017B95">
      <w:pPr>
        <w:numPr>
          <w:ilvl w:val="0"/>
          <w:numId w:val="41"/>
        </w:numPr>
        <w:tabs>
          <w:tab w:val="clear" w:pos="340"/>
          <w:tab w:val="num" w:pos="426"/>
        </w:tabs>
        <w:spacing w:after="120" w:line="280" w:lineRule="atLeast"/>
        <w:ind w:left="426" w:hanging="426"/>
        <w:jc w:val="both"/>
        <w:rPr>
          <w:rFonts w:cs="Arial"/>
          <w:szCs w:val="20"/>
        </w:rPr>
      </w:pPr>
      <w:r>
        <w:rPr>
          <w:iCs/>
        </w:rPr>
        <w:lastRenderedPageBreak/>
        <w:t>Ukáže-li se</w:t>
      </w:r>
      <w:r w:rsidRPr="00706810">
        <w:rPr>
          <w:iCs/>
        </w:rPr>
        <w:t xml:space="preserve"> některé z prohlášení prodávajícího dle čl. X</w:t>
      </w:r>
      <w:r w:rsidR="00952478">
        <w:rPr>
          <w:iCs/>
        </w:rPr>
        <w:t>I</w:t>
      </w:r>
      <w:r w:rsidR="005E14E8">
        <w:rPr>
          <w:iCs/>
        </w:rPr>
        <w:t>I</w:t>
      </w:r>
      <w:r w:rsidRPr="00706810">
        <w:rPr>
          <w:iCs/>
        </w:rPr>
        <w:t xml:space="preserve">. odst. </w:t>
      </w:r>
      <w:r w:rsidR="002663EC">
        <w:rPr>
          <w:iCs/>
        </w:rPr>
        <w:t>1</w:t>
      </w:r>
      <w:r w:rsidR="00895AFF">
        <w:rPr>
          <w:iCs/>
        </w:rPr>
        <w:t>3</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638FE3C3" w14:textId="77777777" w:rsidR="00017B95" w:rsidRPr="00D71308"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3" w:name="_Hlk20389440"/>
      <w:r>
        <w:rPr>
          <w:rFonts w:cs="Arial"/>
          <w:szCs w:val="20"/>
        </w:rPr>
        <w:t>písemnou výzvu k uhrazení smluvní pokuty s jejím vyčíslením</w:t>
      </w:r>
      <w:bookmarkEnd w:id="3"/>
      <w:r w:rsidRPr="00706810">
        <w:rPr>
          <w:rFonts w:cs="Arial"/>
          <w:szCs w:val="20"/>
        </w:rPr>
        <w:t xml:space="preserve">. Smluvní pokuta je splatná do 14 dní ode dne doručení </w:t>
      </w:r>
      <w:r>
        <w:rPr>
          <w:rFonts w:cs="Arial"/>
          <w:szCs w:val="20"/>
        </w:rPr>
        <w:t>výzvy.</w:t>
      </w:r>
    </w:p>
    <w:p w14:paraId="2221985E" w14:textId="77777777" w:rsidR="00017B95" w:rsidRDefault="00017B95" w:rsidP="00017B95">
      <w:pPr>
        <w:numPr>
          <w:ilvl w:val="0"/>
          <w:numId w:val="41"/>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7DDF1088" w14:textId="77777777" w:rsidR="00017B95" w:rsidRPr="00077D1F" w:rsidRDefault="00017B95" w:rsidP="00017B95">
      <w:pPr>
        <w:spacing w:line="280" w:lineRule="atLeast"/>
        <w:ind w:left="426"/>
        <w:jc w:val="both"/>
        <w:rPr>
          <w:rFonts w:cs="Arial"/>
          <w:szCs w:val="20"/>
        </w:rPr>
      </w:pPr>
    </w:p>
    <w:p w14:paraId="718A2F0F" w14:textId="77777777" w:rsidR="00017B95" w:rsidRPr="00D7408F" w:rsidRDefault="00017B95" w:rsidP="00017B95">
      <w:pPr>
        <w:numPr>
          <w:ilvl w:val="0"/>
          <w:numId w:val="41"/>
        </w:numPr>
        <w:tabs>
          <w:tab w:val="clear" w:pos="340"/>
        </w:tabs>
        <w:spacing w:line="280" w:lineRule="atLeast"/>
        <w:ind w:left="426" w:hanging="426"/>
        <w:jc w:val="both"/>
        <w:rPr>
          <w:rFonts w:cs="Arial"/>
          <w:szCs w:val="20"/>
        </w:rPr>
      </w:pPr>
      <w:bookmarkStart w:id="4"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4"/>
    <w:p w14:paraId="5D3C43D0" w14:textId="77777777" w:rsidR="002E1F3C" w:rsidRDefault="002E1F3C" w:rsidP="002E1F3C">
      <w:pPr>
        <w:spacing w:line="280" w:lineRule="atLeast"/>
        <w:jc w:val="both"/>
        <w:rPr>
          <w:rFonts w:cs="Arial"/>
          <w:szCs w:val="20"/>
        </w:rPr>
      </w:pPr>
    </w:p>
    <w:p w14:paraId="6C027C05" w14:textId="77777777" w:rsidR="00017B95" w:rsidRDefault="00017B95" w:rsidP="002E1F3C">
      <w:pPr>
        <w:spacing w:line="280" w:lineRule="atLeast"/>
        <w:jc w:val="both"/>
        <w:rPr>
          <w:rFonts w:cs="Arial"/>
          <w:szCs w:val="20"/>
        </w:rPr>
      </w:pPr>
    </w:p>
    <w:p w14:paraId="365CB684" w14:textId="77777777" w:rsidR="002E1F3C" w:rsidRPr="00DA2C52" w:rsidRDefault="002E1F3C" w:rsidP="002E1F3C">
      <w:pPr>
        <w:spacing w:line="280" w:lineRule="atLeast"/>
        <w:jc w:val="both"/>
        <w:rPr>
          <w:rFonts w:cs="Arial"/>
          <w:szCs w:val="20"/>
        </w:rPr>
      </w:pPr>
    </w:p>
    <w:p w14:paraId="1DD2B29B"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371AB72E"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6F23582" w14:textId="77777777" w:rsidR="002E1F3C" w:rsidRPr="00DA2C52" w:rsidRDefault="002E1F3C" w:rsidP="002E1F3C">
      <w:pPr>
        <w:pStyle w:val="Zkladntext"/>
        <w:spacing w:line="280" w:lineRule="atLeast"/>
        <w:jc w:val="both"/>
        <w:rPr>
          <w:rFonts w:ascii="Arial" w:hAnsi="Arial" w:cs="Arial"/>
          <w:color w:val="auto"/>
          <w:sz w:val="20"/>
        </w:rPr>
      </w:pPr>
    </w:p>
    <w:p w14:paraId="64FB6EE0" w14:textId="77777777" w:rsidR="002E1F3C" w:rsidRPr="00FE3D9B" w:rsidRDefault="002E1F3C" w:rsidP="002E1F3C">
      <w:pPr>
        <w:pStyle w:val="odstavec"/>
        <w:numPr>
          <w:ilvl w:val="0"/>
          <w:numId w:val="14"/>
        </w:numPr>
      </w:pPr>
      <w:r>
        <w:t>Prodávající</w:t>
      </w:r>
      <w:r w:rsidRPr="00DA2C52">
        <w:t xml:space="preserve"> je povinen postupovat </w:t>
      </w:r>
      <w:r>
        <w:t xml:space="preserve">při plnění této smlouvy </w:t>
      </w:r>
      <w:r w:rsidRPr="00DA2C52">
        <w:t xml:space="preserve">s odbornou péčí a v souladu se zájmy </w:t>
      </w:r>
      <w:r>
        <w:t>kupujícího, které zná nebo musí znát</w:t>
      </w:r>
      <w:r w:rsidRPr="00DA2C52">
        <w:t>.</w:t>
      </w:r>
    </w:p>
    <w:p w14:paraId="1CD97F7D" w14:textId="77777777" w:rsidR="002E1F3C" w:rsidRPr="00DA2C52" w:rsidRDefault="002E1F3C" w:rsidP="002E1F3C">
      <w:pPr>
        <w:pStyle w:val="odstavec"/>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966315">
        <w:t>Z</w:t>
      </w:r>
      <w:r w:rsidRPr="00DA2C52">
        <w:t>VZ.</w:t>
      </w:r>
    </w:p>
    <w:p w14:paraId="5EFC9867" w14:textId="545AEA85" w:rsidR="002E1F3C" w:rsidRDefault="002E1F3C" w:rsidP="002E1F3C">
      <w:pPr>
        <w:pStyle w:val="odstavec"/>
      </w:pPr>
      <w:r>
        <w:t>Prodávající</w:t>
      </w:r>
      <w:r w:rsidRPr="00DA2C52">
        <w:t xml:space="preserve"> prohlašuje, že ke dni podpisu této </w:t>
      </w:r>
      <w:r>
        <w:t>s</w:t>
      </w:r>
      <w:r w:rsidRPr="00DA2C52">
        <w:t xml:space="preserve">mlouvy má uzavřenou pojistnou smlouvu, jejímž předmětem je pojištění odpovědnosti </w:t>
      </w:r>
      <w:r w:rsidR="00FD20C8" w:rsidRPr="00FD20C8">
        <w:t>za škodu z provozní činnosti způsobenou třetí osobě a pojištění odpovědnosti za škodu způsobenou vadou výrobku s limitem pojistného plnění alespoň</w:t>
      </w:r>
      <w:r w:rsidR="001B0243">
        <w:br/>
      </w:r>
      <w:r w:rsidR="00FD20C8" w:rsidRPr="00FD20C8">
        <w:t>10 mil. Kč se spoluúčastí maximálně 150 tis. Kč na pojistné události</w:t>
      </w:r>
      <w:r w:rsidR="00FD20C8">
        <w:t>.</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1B6F97E3" w14:textId="77777777" w:rsidR="00017B95" w:rsidRPr="006D1CAF" w:rsidRDefault="00017B95" w:rsidP="00017B95">
      <w:pPr>
        <w:pStyle w:val="odstavec"/>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322AB98" w14:textId="77777777" w:rsidR="00017B95" w:rsidRDefault="00017B95" w:rsidP="00017B95">
      <w:pPr>
        <w:pStyle w:val="odstavec"/>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041DAEAE" w14:textId="77777777" w:rsidR="002E1F3C" w:rsidRDefault="00017B95" w:rsidP="002E1F3C">
      <w:pPr>
        <w:pStyle w:val="odstavec"/>
      </w:pPr>
      <w:r>
        <w:t>Prodávající</w:t>
      </w:r>
      <w:r w:rsidR="002E1F3C">
        <w:t xml:space="preserve"> je povinen dodávat zadavateli již proclené zboží, pokud je dováženo ze zahraničí.</w:t>
      </w:r>
    </w:p>
    <w:p w14:paraId="01C2EF21" w14:textId="77777777" w:rsidR="002E1F3C" w:rsidRDefault="002E1F3C" w:rsidP="002E1F3C">
      <w:pPr>
        <w:pStyle w:val="odstavec"/>
      </w:pPr>
      <w:r w:rsidRPr="00DD5A48">
        <w:t>Prodávající se zavazuje dodržovat takové podmínky pro dopravu a balení zboží</w:t>
      </w:r>
      <w:r>
        <w:t xml:space="preserve"> (zejména podmínky stanovené </w:t>
      </w:r>
      <w:r w:rsidR="0063037B">
        <w:t>v </w:t>
      </w:r>
      <w:r w:rsidR="0063037B" w:rsidRPr="0063037B">
        <w:rPr>
          <w:u w:val="single"/>
        </w:rPr>
        <w:t xml:space="preserve">příloze </w:t>
      </w:r>
      <w:r w:rsidR="00017B95">
        <w:rPr>
          <w:u w:val="single"/>
        </w:rPr>
        <w:t>5</w:t>
      </w:r>
      <w:r>
        <w:t xml:space="preserve"> této smlouvy)</w:t>
      </w:r>
      <w:r w:rsidRPr="00DD5A48">
        <w:t>, aby nedošlo k jeho poškození nakládáním, přepravou či skládáním</w:t>
      </w:r>
      <w:r>
        <w:t>.</w:t>
      </w:r>
    </w:p>
    <w:p w14:paraId="2E148C8B" w14:textId="77777777" w:rsidR="00224213" w:rsidRPr="00224213" w:rsidRDefault="00224213" w:rsidP="00224213">
      <w:pPr>
        <w:pStyle w:val="odstavec"/>
      </w:pPr>
      <w:r w:rsidRPr="00224213">
        <w:lastRenderedPageBreak/>
        <w:t xml:space="preserve">Prodávající dodá kupujícímu společně s každou zakázkou dle této smlouvy, nebude-li dohodnuto jinak, technickou dokumentaci </w:t>
      </w:r>
      <w:r w:rsidRPr="00224213">
        <w:rPr>
          <w:rStyle w:val="odstavecChar"/>
          <w:rFonts w:eastAsiaTheme="majorEastAsia"/>
        </w:rPr>
        <w:t>o</w:t>
      </w:r>
      <w:r w:rsidRPr="00224213">
        <w:t>bsahující:</w:t>
      </w:r>
    </w:p>
    <w:p w14:paraId="65607FFE" w14:textId="77777777" w:rsidR="00224213" w:rsidRPr="00224213" w:rsidRDefault="00224213" w:rsidP="00224213">
      <w:pPr>
        <w:pStyle w:val="Odstavecseseznamem"/>
        <w:widowControl w:val="0"/>
        <w:numPr>
          <w:ilvl w:val="0"/>
          <w:numId w:val="8"/>
        </w:numPr>
        <w:suppressAutoHyphens/>
        <w:ind w:left="1003" w:hanging="357"/>
        <w:jc w:val="both"/>
        <w:rPr>
          <w:rFonts w:cs="Arial"/>
          <w:szCs w:val="20"/>
        </w:rPr>
      </w:pPr>
      <w:r w:rsidRPr="00224213">
        <w:rPr>
          <w:rFonts w:cs="Arial"/>
          <w:szCs w:val="20"/>
        </w:rPr>
        <w:t>název zakázky, rozsah úseku linky (dle čísel podpěrných bodů, případně doplněný názvem stavby či etapy)</w:t>
      </w:r>
    </w:p>
    <w:p w14:paraId="421B28C3" w14:textId="77777777" w:rsidR="00224213" w:rsidRPr="00224213" w:rsidRDefault="00224213" w:rsidP="00224213">
      <w:pPr>
        <w:pStyle w:val="Odstavecseseznamem"/>
        <w:widowControl w:val="0"/>
        <w:numPr>
          <w:ilvl w:val="0"/>
          <w:numId w:val="8"/>
        </w:numPr>
        <w:suppressAutoHyphens/>
        <w:ind w:left="1003" w:hanging="357"/>
        <w:jc w:val="both"/>
        <w:rPr>
          <w:rFonts w:cs="Arial"/>
          <w:szCs w:val="20"/>
        </w:rPr>
      </w:pPr>
      <w:r w:rsidRPr="00224213">
        <w:rPr>
          <w:rFonts w:cs="Arial"/>
          <w:szCs w:val="20"/>
        </w:rPr>
        <w:t>přesné typové označení stožárů, výrobce a zemi původu</w:t>
      </w:r>
    </w:p>
    <w:p w14:paraId="26F7937D" w14:textId="514FBA3A" w:rsidR="00224213" w:rsidRPr="00224213" w:rsidRDefault="00224213" w:rsidP="00224213">
      <w:pPr>
        <w:pStyle w:val="Odstavecseseznamem"/>
        <w:widowControl w:val="0"/>
        <w:numPr>
          <w:ilvl w:val="0"/>
          <w:numId w:val="8"/>
        </w:numPr>
        <w:suppressAutoHyphens/>
        <w:ind w:left="1003" w:hanging="357"/>
        <w:jc w:val="both"/>
        <w:rPr>
          <w:rFonts w:cs="Arial"/>
          <w:szCs w:val="20"/>
        </w:rPr>
      </w:pPr>
      <w:r w:rsidRPr="00224213">
        <w:rPr>
          <w:rFonts w:cs="Arial"/>
          <w:szCs w:val="20"/>
        </w:rPr>
        <w:t xml:space="preserve">výkresy stožárů s uvedením </w:t>
      </w:r>
      <w:r w:rsidR="00785A06">
        <w:rPr>
          <w:rFonts w:cs="Arial"/>
          <w:szCs w:val="20"/>
        </w:rPr>
        <w:t xml:space="preserve">základních </w:t>
      </w:r>
      <w:r w:rsidRPr="00224213">
        <w:rPr>
          <w:rFonts w:cs="Arial"/>
          <w:szCs w:val="20"/>
        </w:rPr>
        <w:t>rozměrů</w:t>
      </w:r>
    </w:p>
    <w:p w14:paraId="02E1E34D" w14:textId="77777777" w:rsidR="00224213" w:rsidRPr="00224213" w:rsidRDefault="00224213" w:rsidP="00224213">
      <w:pPr>
        <w:pStyle w:val="Odstavecseseznamem"/>
        <w:widowControl w:val="0"/>
        <w:numPr>
          <w:ilvl w:val="0"/>
          <w:numId w:val="8"/>
        </w:numPr>
        <w:suppressAutoHyphens/>
        <w:ind w:left="1003" w:hanging="357"/>
        <w:jc w:val="both"/>
        <w:rPr>
          <w:rFonts w:cs="Arial"/>
          <w:szCs w:val="20"/>
        </w:rPr>
      </w:pPr>
      <w:bookmarkStart w:id="6" w:name="_Hlk69803761"/>
      <w:r w:rsidRPr="00224213">
        <w:rPr>
          <w:rFonts w:cs="Arial"/>
          <w:szCs w:val="20"/>
        </w:rPr>
        <w:t>potvrzení prodávajícího, že je materiál dodaného zboží v souladu s požadavky dle bodu 3.3.1 přílohy 2 smlouvy</w:t>
      </w:r>
    </w:p>
    <w:bookmarkEnd w:id="6"/>
    <w:p w14:paraId="2ED9BFFD" w14:textId="77777777" w:rsidR="00224213" w:rsidRPr="00224213" w:rsidRDefault="00224213" w:rsidP="00224213">
      <w:pPr>
        <w:pStyle w:val="Odstavecseseznamem"/>
        <w:widowControl w:val="0"/>
        <w:numPr>
          <w:ilvl w:val="0"/>
          <w:numId w:val="8"/>
        </w:numPr>
        <w:suppressAutoHyphens/>
        <w:ind w:left="1003" w:hanging="357"/>
        <w:jc w:val="both"/>
        <w:rPr>
          <w:rFonts w:cs="Arial"/>
          <w:szCs w:val="20"/>
        </w:rPr>
      </w:pPr>
      <w:r w:rsidRPr="00224213">
        <w:rPr>
          <w:rFonts w:cs="Arial"/>
          <w:szCs w:val="20"/>
        </w:rPr>
        <w:t>požadavky na přepravu stožárů v rámci staveniště, skladování a manipulaci se stožáry</w:t>
      </w:r>
    </w:p>
    <w:p w14:paraId="72A71D88" w14:textId="77777777" w:rsidR="00224213" w:rsidRPr="00224213" w:rsidRDefault="00224213" w:rsidP="00224213">
      <w:pPr>
        <w:pStyle w:val="Odstavecseseznamem"/>
        <w:widowControl w:val="0"/>
        <w:numPr>
          <w:ilvl w:val="0"/>
          <w:numId w:val="8"/>
        </w:numPr>
        <w:suppressAutoHyphens/>
        <w:ind w:left="1003" w:hanging="357"/>
        <w:jc w:val="both"/>
        <w:rPr>
          <w:rFonts w:cs="Arial"/>
          <w:szCs w:val="20"/>
        </w:rPr>
      </w:pPr>
      <w:r w:rsidRPr="00224213">
        <w:rPr>
          <w:rFonts w:cs="Arial"/>
          <w:szCs w:val="20"/>
        </w:rPr>
        <w:t>návod k montáži (balící listy spojovacího materiálu a dále také kompletační soupis dodávaných dílů, jejich značení dle míst spojení jednotlivých dílů dříků, včetně počtu a velikosti spojovacího materiálu)</w:t>
      </w:r>
    </w:p>
    <w:p w14:paraId="1024EC56" w14:textId="77777777" w:rsidR="00224213" w:rsidRPr="00224213" w:rsidRDefault="00224213" w:rsidP="00224213">
      <w:pPr>
        <w:pStyle w:val="Odstavecseseznamem"/>
        <w:widowControl w:val="0"/>
        <w:numPr>
          <w:ilvl w:val="0"/>
          <w:numId w:val="8"/>
        </w:numPr>
        <w:suppressAutoHyphens/>
        <w:ind w:left="1003" w:hanging="357"/>
        <w:jc w:val="both"/>
        <w:rPr>
          <w:rFonts w:cs="Arial"/>
          <w:szCs w:val="20"/>
        </w:rPr>
      </w:pPr>
      <w:bookmarkStart w:id="7" w:name="_Hlk69734425"/>
      <w:r w:rsidRPr="00224213">
        <w:rPr>
          <w:rFonts w:cs="Arial"/>
          <w:szCs w:val="20"/>
        </w:rPr>
        <w:t>návod pro provozování a údržbu nabízeného zboží k dosažení jeho životnosti požadované kupujícím/</w:t>
      </w:r>
    </w:p>
    <w:bookmarkEnd w:id="7"/>
    <w:p w14:paraId="738B5184" w14:textId="77777777" w:rsidR="00224213" w:rsidRPr="00224213" w:rsidRDefault="00224213" w:rsidP="00224213">
      <w:pPr>
        <w:pStyle w:val="Odstavecseseznamem"/>
        <w:widowControl w:val="0"/>
        <w:numPr>
          <w:ilvl w:val="0"/>
          <w:numId w:val="9"/>
        </w:numPr>
        <w:suppressAutoHyphens/>
        <w:jc w:val="both"/>
        <w:rPr>
          <w:rFonts w:cs="Arial"/>
          <w:szCs w:val="20"/>
        </w:rPr>
      </w:pPr>
      <w:r w:rsidRPr="00224213">
        <w:rPr>
          <w:rFonts w:cs="Arial"/>
          <w:szCs w:val="20"/>
        </w:rPr>
        <w:t xml:space="preserve">prohlášení o vlastnostech výrobku </w:t>
      </w:r>
      <w:bookmarkStart w:id="8" w:name="_Hlk69795801"/>
      <w:r w:rsidRPr="00224213">
        <w:rPr>
          <w:rFonts w:cs="Arial"/>
          <w:szCs w:val="20"/>
        </w:rPr>
        <w:t>dle nařízení Evropského parlamentu a Rady č. 305/2011</w:t>
      </w:r>
      <w:bookmarkEnd w:id="8"/>
      <w:r w:rsidRPr="00224213">
        <w:rPr>
          <w:rFonts w:cs="Arial"/>
          <w:szCs w:val="20"/>
        </w:rPr>
        <w:t xml:space="preserve"> na příhradové stožáry, CE označení shody na příhradové stožáry</w:t>
      </w:r>
    </w:p>
    <w:p w14:paraId="42C33096" w14:textId="77777777" w:rsidR="00224213" w:rsidRPr="00224213" w:rsidRDefault="00224213" w:rsidP="00224213">
      <w:pPr>
        <w:pStyle w:val="Odstavecseseznamem"/>
        <w:widowControl w:val="0"/>
        <w:numPr>
          <w:ilvl w:val="0"/>
          <w:numId w:val="9"/>
        </w:numPr>
        <w:suppressAutoHyphens/>
        <w:jc w:val="both"/>
        <w:rPr>
          <w:rFonts w:cs="Arial"/>
          <w:szCs w:val="20"/>
        </w:rPr>
      </w:pPr>
      <w:r w:rsidRPr="00224213">
        <w:rPr>
          <w:rFonts w:cs="Arial"/>
          <w:szCs w:val="20"/>
        </w:rPr>
        <w:t>certifikát pro provádění a posuzování výrobků, výroby a svařování konstrukcí EN ISO 3834-2</w:t>
      </w:r>
    </w:p>
    <w:p w14:paraId="552BB93E" w14:textId="77777777" w:rsidR="00224213" w:rsidRPr="00224213" w:rsidRDefault="00224213" w:rsidP="00224213">
      <w:pPr>
        <w:pStyle w:val="Odstavecseseznamem"/>
        <w:widowControl w:val="0"/>
        <w:numPr>
          <w:ilvl w:val="0"/>
          <w:numId w:val="34"/>
        </w:numPr>
        <w:suppressAutoHyphens/>
        <w:jc w:val="both"/>
        <w:rPr>
          <w:rFonts w:cs="Arial"/>
          <w:szCs w:val="20"/>
        </w:rPr>
      </w:pPr>
      <w:r w:rsidRPr="00224213">
        <w:rPr>
          <w:rFonts w:cs="Arial"/>
          <w:szCs w:val="20"/>
        </w:rPr>
        <w:t>atesty na hutní a spojovací materiál</w:t>
      </w:r>
    </w:p>
    <w:p w14:paraId="096E55B2" w14:textId="77777777" w:rsidR="00224213" w:rsidRPr="00224213" w:rsidRDefault="00224213" w:rsidP="00224213">
      <w:pPr>
        <w:pStyle w:val="Odstavecseseznamem"/>
        <w:widowControl w:val="0"/>
        <w:numPr>
          <w:ilvl w:val="0"/>
          <w:numId w:val="34"/>
        </w:numPr>
        <w:suppressAutoHyphens/>
        <w:jc w:val="both"/>
        <w:rPr>
          <w:rFonts w:cs="Arial"/>
          <w:szCs w:val="20"/>
        </w:rPr>
      </w:pPr>
      <w:r w:rsidRPr="00224213">
        <w:rPr>
          <w:rFonts w:cs="Arial"/>
          <w:szCs w:val="20"/>
        </w:rPr>
        <w:t>protokoly o kontrole svarů a kontrole rozměrů, o kontrole měření žárového zinku</w:t>
      </w:r>
    </w:p>
    <w:p w14:paraId="175B1B41" w14:textId="77777777" w:rsidR="00224213" w:rsidRPr="00224213" w:rsidRDefault="00224213" w:rsidP="00224213">
      <w:pPr>
        <w:pStyle w:val="Odstavecseseznamem"/>
        <w:widowControl w:val="0"/>
        <w:numPr>
          <w:ilvl w:val="0"/>
          <w:numId w:val="9"/>
        </w:numPr>
        <w:suppressAutoHyphens/>
        <w:jc w:val="both"/>
        <w:rPr>
          <w:rFonts w:cs="Arial"/>
          <w:szCs w:val="20"/>
        </w:rPr>
      </w:pPr>
      <w:r w:rsidRPr="00224213">
        <w:rPr>
          <w:rFonts w:cs="Arial"/>
          <w:szCs w:val="20"/>
        </w:rPr>
        <w:t>seznam svářečů, kteří se podíleli na plnění zakázky</w:t>
      </w:r>
    </w:p>
    <w:p w14:paraId="1D31487C" w14:textId="77777777" w:rsidR="00224213" w:rsidRPr="00224213" w:rsidRDefault="00224213" w:rsidP="00224213">
      <w:pPr>
        <w:pStyle w:val="Odstavecseseznamem"/>
        <w:widowControl w:val="0"/>
        <w:numPr>
          <w:ilvl w:val="0"/>
          <w:numId w:val="9"/>
        </w:numPr>
        <w:suppressAutoHyphens/>
        <w:jc w:val="both"/>
        <w:rPr>
          <w:rFonts w:cs="Arial"/>
          <w:szCs w:val="20"/>
        </w:rPr>
      </w:pPr>
      <w:r w:rsidRPr="00224213">
        <w:rPr>
          <w:rFonts w:cs="Arial"/>
          <w:szCs w:val="20"/>
        </w:rPr>
        <w:t>osvědčení o shodě řízení výroby EN 1090-1, certifikát EN 1090-2</w:t>
      </w:r>
    </w:p>
    <w:p w14:paraId="06B6758C" w14:textId="77777777" w:rsidR="00224213" w:rsidRPr="00224213" w:rsidRDefault="00224213" w:rsidP="00224213">
      <w:pPr>
        <w:pStyle w:val="Odstavecseseznamem"/>
        <w:widowControl w:val="0"/>
        <w:numPr>
          <w:ilvl w:val="0"/>
          <w:numId w:val="9"/>
        </w:numPr>
        <w:suppressAutoHyphens/>
        <w:jc w:val="both"/>
        <w:rPr>
          <w:rFonts w:cs="Arial"/>
          <w:szCs w:val="20"/>
        </w:rPr>
      </w:pPr>
      <w:r w:rsidRPr="00224213">
        <w:rPr>
          <w:rFonts w:cs="Arial"/>
          <w:szCs w:val="20"/>
        </w:rPr>
        <w:t>záruční list potvrzený prodávajícím</w:t>
      </w:r>
    </w:p>
    <w:p w14:paraId="20C82DB0" w14:textId="77777777" w:rsidR="00224213" w:rsidRPr="00224213" w:rsidRDefault="00224213" w:rsidP="00224213">
      <w:pPr>
        <w:pStyle w:val="Odstavecseseznamem"/>
        <w:widowControl w:val="0"/>
        <w:numPr>
          <w:ilvl w:val="0"/>
          <w:numId w:val="9"/>
        </w:numPr>
        <w:suppressAutoHyphens/>
        <w:spacing w:after="120"/>
        <w:ind w:left="1003" w:hanging="357"/>
        <w:jc w:val="both"/>
        <w:rPr>
          <w:rFonts w:cs="Arial"/>
          <w:szCs w:val="20"/>
        </w:rPr>
      </w:pPr>
      <w:r w:rsidRPr="00224213">
        <w:rPr>
          <w:rFonts w:cs="Arial"/>
          <w:szCs w:val="20"/>
        </w:rPr>
        <w:t>dokument týkající se materiálů použitých při výrobě předmětu plnění, který bude obsahovat:</w:t>
      </w:r>
    </w:p>
    <w:p w14:paraId="3A8D8AC3" w14:textId="77777777" w:rsidR="00224213" w:rsidRPr="00224213" w:rsidRDefault="00224213" w:rsidP="00224213">
      <w:pPr>
        <w:pStyle w:val="odstavec"/>
        <w:numPr>
          <w:ilvl w:val="0"/>
          <w:numId w:val="35"/>
        </w:numPr>
        <w:spacing w:before="0" w:after="0" w:line="240" w:lineRule="auto"/>
        <w:ind w:left="1775" w:hanging="357"/>
      </w:pPr>
      <w:r w:rsidRPr="00224213">
        <w:t>seznam dle druhů použitých materiálů</w:t>
      </w:r>
    </w:p>
    <w:p w14:paraId="63111BCD" w14:textId="77777777" w:rsidR="00224213" w:rsidRPr="00224213" w:rsidRDefault="00224213" w:rsidP="00224213">
      <w:pPr>
        <w:pStyle w:val="odstavec"/>
        <w:numPr>
          <w:ilvl w:val="0"/>
          <w:numId w:val="35"/>
        </w:numPr>
        <w:spacing w:before="0" w:after="0" w:line="240" w:lineRule="auto"/>
        <w:ind w:left="1775" w:hanging="357"/>
      </w:pPr>
      <w:r w:rsidRPr="00224213">
        <w:t>klasifikaci materiálů dle nařízení Evropského parlamentu a Rady (ES) č. 1272/2008 o klasifikaci, označování a balení látek a směsí (dále „CLP“), klasifikují-li se použité materiály dle tohoto nařízení,</w:t>
      </w:r>
    </w:p>
    <w:p w14:paraId="226473D2" w14:textId="77777777" w:rsidR="00224213" w:rsidRPr="00224213" w:rsidRDefault="00224213" w:rsidP="00224213">
      <w:pPr>
        <w:pStyle w:val="odstavec"/>
        <w:numPr>
          <w:ilvl w:val="0"/>
          <w:numId w:val="35"/>
        </w:numPr>
        <w:spacing w:before="0" w:after="0" w:line="240" w:lineRule="auto"/>
        <w:ind w:left="1775" w:hanging="357"/>
      </w:pPr>
      <w:r w:rsidRPr="00224213">
        <w:t>bezpečnostní listy pro materiály klasifikované podle nařízení CLP</w:t>
      </w:r>
    </w:p>
    <w:p w14:paraId="02BC0BCB" w14:textId="77777777" w:rsidR="00224213" w:rsidRPr="00224213" w:rsidRDefault="00224213" w:rsidP="00224213">
      <w:pPr>
        <w:pStyle w:val="odstavec"/>
        <w:numPr>
          <w:ilvl w:val="0"/>
          <w:numId w:val="35"/>
        </w:numPr>
        <w:spacing w:before="0" w:after="0" w:line="240" w:lineRule="auto"/>
        <w:ind w:left="1775" w:hanging="357"/>
      </w:pPr>
      <w:r w:rsidRPr="00224213">
        <w:t>zařazení použitých materiálů i výrobku jako celku podle Katalogu odpadů (vyhláška č. 8/2021 Sb., o Katalogu odpadů),</w:t>
      </w:r>
    </w:p>
    <w:p w14:paraId="031D2FAF" w14:textId="77777777" w:rsidR="00224213" w:rsidRPr="00224213" w:rsidRDefault="00224213" w:rsidP="00224213">
      <w:pPr>
        <w:pStyle w:val="odstavec"/>
        <w:numPr>
          <w:ilvl w:val="0"/>
          <w:numId w:val="35"/>
        </w:numPr>
        <w:spacing w:before="0" w:after="0" w:line="240" w:lineRule="auto"/>
        <w:ind w:left="1775" w:hanging="357"/>
      </w:pPr>
      <w:r w:rsidRPr="00224213">
        <w:t>hmotnostní poměr použitých materiálů na výrobek</w:t>
      </w:r>
    </w:p>
    <w:p w14:paraId="11BB0440" w14:textId="77777777" w:rsidR="00224213" w:rsidRPr="00224213" w:rsidRDefault="00224213" w:rsidP="00224213">
      <w:pPr>
        <w:pStyle w:val="odstavec"/>
        <w:numPr>
          <w:ilvl w:val="0"/>
          <w:numId w:val="35"/>
        </w:numPr>
        <w:spacing w:before="0" w:after="0" w:line="240" w:lineRule="auto"/>
        <w:ind w:left="1775" w:hanging="357"/>
      </w:pPr>
      <w:r w:rsidRPr="00224213">
        <w:t>rozsah nátěrových ploch</w:t>
      </w:r>
    </w:p>
    <w:p w14:paraId="4E9ED426" w14:textId="77777777" w:rsidR="00224213" w:rsidRPr="00224213" w:rsidRDefault="00224213" w:rsidP="00224213">
      <w:pPr>
        <w:pStyle w:val="odstavec"/>
        <w:numPr>
          <w:ilvl w:val="0"/>
          <w:numId w:val="0"/>
        </w:numPr>
        <w:spacing w:before="0" w:after="0" w:line="240" w:lineRule="auto"/>
        <w:ind w:left="360" w:hanging="360"/>
      </w:pPr>
    </w:p>
    <w:p w14:paraId="6EF06448" w14:textId="6628E853" w:rsidR="002E1F3C" w:rsidRPr="00224213" w:rsidRDefault="00224213" w:rsidP="00224213">
      <w:pPr>
        <w:pStyle w:val="Odstavecseseznamem"/>
        <w:widowControl w:val="0"/>
        <w:numPr>
          <w:ilvl w:val="0"/>
          <w:numId w:val="9"/>
        </w:numPr>
        <w:suppressAutoHyphens/>
        <w:jc w:val="both"/>
        <w:rPr>
          <w:rFonts w:cs="Arial"/>
          <w:szCs w:val="20"/>
        </w:rPr>
      </w:pPr>
      <w:r w:rsidRPr="00224213">
        <w:rPr>
          <w:rFonts w:cs="Arial"/>
          <w:szCs w:val="20"/>
        </w:rPr>
        <w:t>dokument dokladující způsob plnění ustanovení zákona o obalech (č. 477/2001 Sb.) týkající se zpětného odběru a využití odpadu z obalů (§ 10 a 12), bude-li součástí dodávky obalový materiál.</w:t>
      </w:r>
    </w:p>
    <w:p w14:paraId="17440D94" w14:textId="77777777" w:rsidR="002E1F3C" w:rsidRDefault="002E1F3C" w:rsidP="002E1F3C">
      <w:pPr>
        <w:widowControl w:val="0"/>
        <w:suppressAutoHyphens/>
        <w:ind w:left="644"/>
        <w:jc w:val="both"/>
      </w:pPr>
    </w:p>
    <w:p w14:paraId="28C99E24" w14:textId="77777777" w:rsidR="002E1F3C" w:rsidRDefault="002E1F3C" w:rsidP="002E1F3C">
      <w:pPr>
        <w:pStyle w:val="odstavec"/>
      </w:pPr>
      <w:r>
        <w:t>Dokumenty uvedené v předchozím odstavci budou kupujícímu, resp. zástupci kupujícího předloženy jak v listinné, tak v elektronické podobě. Dokumenty v elektronické podobě budou zaslány na e-mailovou adresu uvedenou za tímto účelem ve výzvě k plnění.</w:t>
      </w:r>
    </w:p>
    <w:p w14:paraId="59C48778" w14:textId="77777777" w:rsidR="00966315" w:rsidRPr="00966315" w:rsidRDefault="00966315" w:rsidP="00966315">
      <w:pPr>
        <w:pStyle w:val="odstavec"/>
      </w:pPr>
      <w:r>
        <w:t xml:space="preserve">Kupující má právo účastnit se technických zkoušek zboží v rozsahu dle </w:t>
      </w:r>
      <w:r w:rsidRPr="007D3700">
        <w:rPr>
          <w:u w:val="single"/>
        </w:rPr>
        <w:t>přílohy 2</w:t>
      </w:r>
      <w:r>
        <w:t xml:space="preserve"> této smlouvy prováděných v závodě výrobce zboží (dále jen „</w:t>
      </w:r>
      <w:r>
        <w:rPr>
          <w:b/>
        </w:rPr>
        <w:t>přejímka</w:t>
      </w:r>
      <w: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38DEFDE" w14:textId="77777777" w:rsidR="002E1F3C" w:rsidRDefault="002E1F3C" w:rsidP="002E1F3C">
      <w:pPr>
        <w:pStyle w:val="odstavec"/>
      </w:pPr>
      <w:r>
        <w:lastRenderedPageBreak/>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5737F95B" w14:textId="400BF4E8" w:rsidR="002E1F3C" w:rsidRDefault="002E1F3C" w:rsidP="002E1F3C">
      <w:pPr>
        <w:pStyle w:val="odstavec"/>
      </w:pPr>
      <w:r>
        <w:t>Skutečnost, že parametry či ho</w:t>
      </w:r>
      <w:r w:rsidR="00CD700E">
        <w:t>dnoty zjištěné podle odstavce 1</w:t>
      </w:r>
      <w:r w:rsidR="00236230">
        <w:t>0</w:t>
      </w:r>
      <w:r>
        <w:t>.</w:t>
      </w:r>
      <w:r w:rsidR="00966315">
        <w:t xml:space="preserve"> a 1</w:t>
      </w:r>
      <w:r w:rsidR="00236230">
        <w:t>1</w:t>
      </w:r>
      <w:r w:rsidR="00966315">
        <w:t>.</w:t>
      </w:r>
      <w:r>
        <w:t xml:space="preserve"> tohoto článku neodpovídají sjednaným parametrům či hodnotám dle této smlouvy, nabídky či zadávací dokumentace, zakládá podstatné porušení smlouvy ze strany prodávajícího.</w:t>
      </w:r>
    </w:p>
    <w:p w14:paraId="1965EC81" w14:textId="77777777" w:rsidR="002E7434" w:rsidRPr="007A227D" w:rsidRDefault="002E7434" w:rsidP="002E7434">
      <w:pPr>
        <w:pStyle w:val="odstavec"/>
      </w:pPr>
      <w:r w:rsidRPr="007A227D">
        <w:t>Má-li být jednotlivý typ stožáru výrobcem vyroben poprvé podle technické specifikace</w:t>
      </w:r>
      <w:r w:rsidR="00685A95" w:rsidRPr="007A227D">
        <w:t>, resp. typizační výkresové dokumentace</w:t>
      </w:r>
      <w:r w:rsidRPr="007A227D">
        <w:t xml:space="preserve"> tvořící </w:t>
      </w:r>
      <w:r w:rsidR="00685A95" w:rsidRPr="007A227D">
        <w:t xml:space="preserve">součást </w:t>
      </w:r>
      <w:r w:rsidRPr="007A227D">
        <w:rPr>
          <w:u w:val="single"/>
        </w:rPr>
        <w:t>příloh</w:t>
      </w:r>
      <w:r w:rsidR="00685A95" w:rsidRPr="007A227D">
        <w:rPr>
          <w:u w:val="single"/>
        </w:rPr>
        <w:t>y</w:t>
      </w:r>
      <w:r w:rsidRPr="007A227D">
        <w:rPr>
          <w:u w:val="single"/>
        </w:rPr>
        <w:t xml:space="preserve"> 2</w:t>
      </w:r>
      <w:r w:rsidRPr="007A227D">
        <w:t xml:space="preserve"> této smlouvy, je kupující oprávněn požadovat po prodávajícím provedení zkoušky montáže. Cena zkušební montáže v takovém případě není zahrnuta v nabídkové ceně a kupující zaplatí prodávajícímu 200 EUR za tunu (tj. 1 000 kg) takto smontovaného stožáru. </w:t>
      </w:r>
    </w:p>
    <w:p w14:paraId="762EDF89" w14:textId="77777777" w:rsidR="002E7434" w:rsidRPr="007A227D" w:rsidRDefault="002E7434" w:rsidP="002E7434">
      <w:pPr>
        <w:pStyle w:val="odstavec"/>
      </w:pPr>
      <w:r w:rsidRPr="007A227D">
        <w:t>Při zkušební montáži musí být stožár smontován ve výrobním závodě, a to ještě před začátkem vlastní sériové výroby daného typu stožáru. Stožár se smontuje vleže tak, aby bylo možné zkontrolovat přesnost spojů všech částí stožár</w:t>
      </w:r>
      <w:r w:rsidR="008C690F" w:rsidRPr="007A227D">
        <w:t>u</w:t>
      </w:r>
      <w:r w:rsidRPr="007A227D">
        <w:t xml:space="preserve">. Kupující si vyhrazuje právo být přítomen zkušebního sestavení stožáru. </w:t>
      </w:r>
    </w:p>
    <w:p w14:paraId="7F428054" w14:textId="77777777" w:rsidR="002E7434" w:rsidRPr="007A227D" w:rsidRDefault="002E7434" w:rsidP="002E7434">
      <w:pPr>
        <w:pStyle w:val="odstavec"/>
        <w:ind w:left="357" w:hanging="357"/>
      </w:pPr>
      <w:r w:rsidRPr="007A227D">
        <w:t xml:space="preserve">Prodávající je v případě požadavku kupujícího na provedení zkušební montáže povinen předložit protokol o provedené zkoušce montáže. Zkušební protokol bude obsahovat uvedení typu stožáru, odpovědného pracovníka za montáž vč. jeho podpisu, seznam použitých podkladů, pomůcek a měřidel. Dále slovní zhodnocení výsledku montáže a fotodokumentaci, ze které bude jednoznačně možné identifikovat konkrétní typ stožáru a datum provedení předmontáže. </w:t>
      </w:r>
    </w:p>
    <w:p w14:paraId="35421692" w14:textId="77777777" w:rsidR="002E1F3C" w:rsidRPr="001F4382" w:rsidRDefault="002E1F3C" w:rsidP="002E1F3C">
      <w:pPr>
        <w:pStyle w:val="odstavec"/>
      </w:pPr>
      <w:r w:rsidRPr="001F4382">
        <w:t>Kupující je dále oprávněn požadovat po prodávajícím po dobu účinnosti této smlouvy předložení platného certifikátu systému řízení jakosti dle ČSN EN ISO 9001 (vydaného akreditovaným členským subjektem Evropské spolupráce pro akreditaci) společně s doklady o platnosti tohoto certifikátu a o pravidelných prohlídkách certifikačního orgánu.</w:t>
      </w:r>
      <w:r w:rsidR="000B2063" w:rsidRPr="001F4382">
        <w:t xml:space="preserve"> Nadto je kupující oprávněn požadovat předložení prohlášení prodávajícího o shodě výrobků s požadavky technické specifikace tvořící </w:t>
      </w:r>
      <w:r w:rsidR="000B2063" w:rsidRPr="001F4382">
        <w:rPr>
          <w:u w:val="single"/>
        </w:rPr>
        <w:t>přílohu 2</w:t>
      </w:r>
      <w:r w:rsidR="000B2063" w:rsidRPr="001F4382">
        <w:t xml:space="preserve"> této smlouvy.</w:t>
      </w:r>
    </w:p>
    <w:p w14:paraId="4368A2D9" w14:textId="77777777" w:rsidR="00FF20AB" w:rsidRPr="001F4382" w:rsidRDefault="00FF20AB" w:rsidP="002E1F3C">
      <w:pPr>
        <w:pStyle w:val="odstavec"/>
      </w:pPr>
      <w:r w:rsidRPr="001F4382">
        <w:t>Kupující je oprávněn požadovat předložení protokolu týkajícího se experimentálního ověření návrhové únosnosti dříku stožáru dle bodu 7.3.9.ČSN EN 50341-1.</w:t>
      </w:r>
    </w:p>
    <w:p w14:paraId="203C476F" w14:textId="3E4820B7" w:rsidR="002E1F3C" w:rsidRDefault="002E1F3C" w:rsidP="008C690F">
      <w:pPr>
        <w:pStyle w:val="odstavec"/>
      </w:pPr>
      <w:r w:rsidRPr="001F4382">
        <w:t>Prodávající je povinen předložit na výzvu kupujícího veškeré dokumenty, protokoly, záznamy o provedených zkouškách a certifikáty uvedené v zadávací dokumentaci či v této smlouvě.</w:t>
      </w:r>
      <w:r w:rsidR="008C690F" w:rsidRPr="001F4382">
        <w:t xml:space="preserve">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w:t>
      </w:r>
      <w:r w:rsidRPr="001F4382">
        <w:t xml:space="preserve"> </w:t>
      </w:r>
    </w:p>
    <w:p w14:paraId="701BD276" w14:textId="6D0D195C" w:rsidR="00F35632" w:rsidRPr="001F4382" w:rsidRDefault="00F35632" w:rsidP="008C690F">
      <w:pPr>
        <w:pStyle w:val="odstavec"/>
      </w:pPr>
      <w:r>
        <w:t>Prodávající je povinen vyhotovit potřebnou technickou (výrobní) dokumentaci na svoje náklady.</w:t>
      </w:r>
    </w:p>
    <w:p w14:paraId="438D36AE" w14:textId="5E3CFFD6" w:rsidR="002E1F3C" w:rsidRPr="001F4382" w:rsidRDefault="002E1F3C" w:rsidP="002E1F3C">
      <w:pPr>
        <w:pStyle w:val="odstavec"/>
      </w:pPr>
      <w:r w:rsidRPr="001F4382">
        <w:t>Zadavatel si vyhrazuje právo provést jednostranně změnu typizační výkresové d</w:t>
      </w:r>
      <w:r w:rsidR="0063037B" w:rsidRPr="001F4382">
        <w:t xml:space="preserve">okumentace, která tvoří bod č. </w:t>
      </w:r>
      <w:r w:rsidR="008C4A6B" w:rsidRPr="001F4382">
        <w:t>7</w:t>
      </w:r>
      <w:r w:rsidRPr="001F4382">
        <w:t xml:space="preserve"> </w:t>
      </w:r>
      <w:r w:rsidRPr="001F4382">
        <w:rPr>
          <w:u w:val="single"/>
        </w:rPr>
        <w:t>přílohy 2</w:t>
      </w:r>
      <w:r w:rsidRPr="001F4382">
        <w:t xml:space="preserve"> této smlouvy a na základě toho pak také změnu hmotností stožárových </w:t>
      </w:r>
      <w:r w:rsidR="008C4A6B" w:rsidRPr="001F4382">
        <w:t>konstrukcí uvedených v bodě č. 8</w:t>
      </w:r>
      <w:r w:rsidRPr="001F4382">
        <w:t xml:space="preserve"> </w:t>
      </w:r>
      <w:r w:rsidRPr="001F4382">
        <w:rPr>
          <w:u w:val="single"/>
        </w:rPr>
        <w:t>přílohy 2</w:t>
      </w:r>
      <w:r w:rsidR="00321D50" w:rsidRPr="001F4382">
        <w:rPr>
          <w:u w:val="single"/>
        </w:rPr>
        <w:t>,</w:t>
      </w:r>
      <w:r w:rsidR="00321D50" w:rsidRPr="001F4382">
        <w:t xml:space="preserve"> resp. v </w:t>
      </w:r>
      <w:r w:rsidR="00321D50" w:rsidRPr="001F4382">
        <w:rPr>
          <w:u w:val="single"/>
        </w:rPr>
        <w:t xml:space="preserve">příloze </w:t>
      </w:r>
      <w:proofErr w:type="gramStart"/>
      <w:r w:rsidR="00321D50" w:rsidRPr="001F4382">
        <w:rPr>
          <w:u w:val="single"/>
        </w:rPr>
        <w:t>1b</w:t>
      </w:r>
      <w:proofErr w:type="gramEnd"/>
      <w:r w:rsidRPr="001F4382">
        <w:t xml:space="preserve"> této smlouvy. Zadavatel je však oprávněn provést tuto změnu výlučně v důsledku změny platných technických norem vztahujících se k předmětu plnění, zejména v důsledku existence již platné normy ČSN EN 50341-2-19 resp. PNE 33 3300 a navazujících. </w:t>
      </w:r>
    </w:p>
    <w:p w14:paraId="641A73AA" w14:textId="127072AE" w:rsidR="005229A4" w:rsidRPr="001F4382" w:rsidRDefault="005229A4" w:rsidP="002E1F3C">
      <w:pPr>
        <w:pStyle w:val="odstavec"/>
      </w:pPr>
      <w:bookmarkStart w:id="9" w:name="_Hlk63411109"/>
      <w:r w:rsidRPr="001F4382">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w:t>
      </w:r>
      <w:r w:rsidRPr="001F4382">
        <w:lastRenderedPageBreak/>
        <w:t>ve znění pozdějších předpisů a zákona č. 17/1992 Sb., o životním prostředí, ve znění pozdějších předpisů.</w:t>
      </w:r>
      <w:bookmarkEnd w:id="9"/>
    </w:p>
    <w:p w14:paraId="1B778462" w14:textId="77777777" w:rsidR="002E1F3C" w:rsidRPr="00DA2C52" w:rsidRDefault="002E1F3C" w:rsidP="007A227D">
      <w:pPr>
        <w:spacing w:line="280" w:lineRule="atLeast"/>
        <w:jc w:val="both"/>
        <w:rPr>
          <w:rFonts w:cs="Arial"/>
          <w:szCs w:val="20"/>
        </w:rPr>
      </w:pPr>
    </w:p>
    <w:p w14:paraId="531E6EE7"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519182D0"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565438CF" w14:textId="77777777" w:rsidR="002E1F3C" w:rsidRPr="00DA2C52" w:rsidRDefault="002E1F3C" w:rsidP="002E1F3C">
      <w:pPr>
        <w:spacing w:line="280" w:lineRule="atLeast"/>
        <w:jc w:val="both"/>
        <w:rPr>
          <w:rFonts w:cs="Arial"/>
        </w:rPr>
      </w:pPr>
    </w:p>
    <w:p w14:paraId="78142F78" w14:textId="77777777" w:rsidR="002A6673" w:rsidRDefault="002A6673" w:rsidP="002A6673">
      <w:pPr>
        <w:pStyle w:val="Odstavecseseznamem"/>
        <w:numPr>
          <w:ilvl w:val="0"/>
          <w:numId w:val="6"/>
        </w:numPr>
        <w:spacing w:line="280" w:lineRule="atLeast"/>
        <w:ind w:left="426" w:hanging="426"/>
        <w:contextualSpacing/>
        <w:jc w:val="both"/>
        <w:rPr>
          <w:rFonts w:cs="Arial"/>
        </w:rPr>
      </w:pPr>
      <w:r w:rsidRPr="005A25A0">
        <w:rPr>
          <w:rFonts w:cs="Arial"/>
        </w:rPr>
        <w:t>Tato smlouva byla sjednána na dobu určitou čtyř let s účinností od okamžiku podpisu této smlouvy oběma smluvními stranami</w:t>
      </w:r>
      <w:r>
        <w:rPr>
          <w:rFonts w:cs="Arial"/>
        </w:rPr>
        <w:t>.</w:t>
      </w:r>
    </w:p>
    <w:p w14:paraId="396DF95E" w14:textId="77777777" w:rsidR="002A6673" w:rsidRPr="005A25A0" w:rsidRDefault="002A6673" w:rsidP="002A6673">
      <w:pPr>
        <w:pStyle w:val="Odstavecseseznamem"/>
        <w:spacing w:line="280" w:lineRule="atLeast"/>
        <w:ind w:left="426"/>
        <w:contextualSpacing/>
        <w:jc w:val="both"/>
        <w:rPr>
          <w:rFonts w:cs="Arial"/>
        </w:rPr>
      </w:pPr>
    </w:p>
    <w:p w14:paraId="4B045ED8" w14:textId="77777777" w:rsidR="002A6673" w:rsidRDefault="002A6673" w:rsidP="002A6673">
      <w:pPr>
        <w:pStyle w:val="Odstavecseseznamem"/>
        <w:numPr>
          <w:ilvl w:val="0"/>
          <w:numId w:val="6"/>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01B75A31" w14:textId="77777777" w:rsidR="002A6673" w:rsidRPr="007D24A4" w:rsidRDefault="002A6673" w:rsidP="002A6673">
      <w:pPr>
        <w:pStyle w:val="Odstavecseseznamem"/>
        <w:spacing w:line="280" w:lineRule="atLeast"/>
        <w:ind w:left="426"/>
        <w:contextualSpacing/>
        <w:jc w:val="both"/>
        <w:rPr>
          <w:rFonts w:cs="Arial"/>
        </w:rPr>
      </w:pPr>
    </w:p>
    <w:p w14:paraId="720BB57B"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463E2BEB" w14:textId="77777777" w:rsidR="002A6673" w:rsidRDefault="002A6673" w:rsidP="002A6673">
      <w:pPr>
        <w:pStyle w:val="Odstavecseseznamem"/>
        <w:rPr>
          <w:rFonts w:cs="Arial"/>
          <w:szCs w:val="20"/>
        </w:rPr>
      </w:pPr>
    </w:p>
    <w:p w14:paraId="5A27A711"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E412911"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64D14E9C"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4CC1A3EB" w14:textId="77777777" w:rsidR="002A6673" w:rsidRPr="00D12DDA" w:rsidRDefault="002A6673" w:rsidP="002A6673">
      <w:pPr>
        <w:numPr>
          <w:ilvl w:val="1"/>
          <w:numId w:val="6"/>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xml:space="preserve">, kterého se prodávající alespoň jedenkrát v průběhu </w:t>
      </w:r>
      <w:r w:rsidRPr="00F1400B">
        <w:rPr>
          <w:rFonts w:cs="Arial"/>
          <w:szCs w:val="20"/>
        </w:rPr>
        <w:t>předchozích šesti</w:t>
      </w:r>
      <w:r w:rsidRPr="00D12DDA">
        <w:rPr>
          <w:rFonts w:cs="Arial"/>
          <w:szCs w:val="20"/>
        </w:rPr>
        <w:t xml:space="preserve"> kalendářních měsíců již dopustil a na které kupující prodávajícího výslovně upozornil</w:t>
      </w:r>
      <w:r>
        <w:rPr>
          <w:rFonts w:cs="Arial"/>
          <w:szCs w:val="20"/>
        </w:rPr>
        <w:t>;</w:t>
      </w:r>
    </w:p>
    <w:p w14:paraId="3BBA41C4" w14:textId="77777777" w:rsidR="002A6673" w:rsidRPr="00D12DDA" w:rsidRDefault="002A6673" w:rsidP="002A6673">
      <w:pPr>
        <w:numPr>
          <w:ilvl w:val="1"/>
          <w:numId w:val="6"/>
        </w:numPr>
        <w:spacing w:after="120" w:line="276" w:lineRule="auto"/>
        <w:ind w:left="1434" w:hanging="357"/>
        <w:jc w:val="both"/>
        <w:rPr>
          <w:rFonts w:cs="Arial"/>
          <w:szCs w:val="20"/>
        </w:rPr>
      </w:pPr>
      <w:r>
        <w:t xml:space="preserve">prodávající nepředloží na výzvu kupujícího platnou pojistnou smlouvu specifikovanou v čl. </w:t>
      </w:r>
      <w:r w:rsidR="00732B9E">
        <w:t>VII</w:t>
      </w:r>
      <w:r>
        <w:t>. odst. 3 smlouvy;</w:t>
      </w:r>
    </w:p>
    <w:p w14:paraId="7379DC69" w14:textId="77777777" w:rsidR="002A6673" w:rsidRPr="00B65E1C" w:rsidRDefault="002A6673" w:rsidP="002A6673">
      <w:pPr>
        <w:numPr>
          <w:ilvl w:val="1"/>
          <w:numId w:val="6"/>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w:t>
      </w:r>
      <w:r w:rsidR="00732B9E">
        <w:t>VII</w:t>
      </w:r>
      <w:r>
        <w:t>. odst. 4 smlouvy;</w:t>
      </w:r>
      <w:r w:rsidRPr="00C1045E">
        <w:rPr>
          <w:color w:val="1F497D"/>
        </w:rPr>
        <w:t xml:space="preserve"> </w:t>
      </w:r>
    </w:p>
    <w:p w14:paraId="25098AAD"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jiné opakované či podstatné porušení smlouvy prodávajícím.</w:t>
      </w:r>
    </w:p>
    <w:p w14:paraId="7A19E34A" w14:textId="77777777" w:rsidR="002A6673" w:rsidRPr="00406195" w:rsidRDefault="002A6673" w:rsidP="002A6673">
      <w:pPr>
        <w:spacing w:after="120" w:line="276" w:lineRule="auto"/>
        <w:ind w:left="1434"/>
        <w:jc w:val="both"/>
        <w:rPr>
          <w:rFonts w:cs="Arial"/>
          <w:szCs w:val="20"/>
        </w:rPr>
      </w:pPr>
    </w:p>
    <w:p w14:paraId="4E3182EC" w14:textId="77777777" w:rsidR="002A6673" w:rsidRPr="00406195" w:rsidRDefault="002A6673" w:rsidP="002A6673">
      <w:pPr>
        <w:pStyle w:val="Odstavecseseznamem"/>
        <w:numPr>
          <w:ilvl w:val="0"/>
          <w:numId w:val="6"/>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5C786715" w14:textId="77777777" w:rsidR="002A6673" w:rsidRPr="00406195" w:rsidRDefault="002A6673" w:rsidP="002A6673">
      <w:pPr>
        <w:pStyle w:val="Odstavecseseznamem"/>
        <w:spacing w:line="280" w:lineRule="atLeast"/>
        <w:ind w:left="426"/>
        <w:contextualSpacing/>
        <w:jc w:val="both"/>
        <w:rPr>
          <w:rFonts w:cs="Arial"/>
          <w:szCs w:val="20"/>
        </w:rPr>
      </w:pPr>
    </w:p>
    <w:p w14:paraId="1217782F" w14:textId="6B279CFD" w:rsidR="002A6673" w:rsidRDefault="002A6673" w:rsidP="002A6673">
      <w:pPr>
        <w:numPr>
          <w:ilvl w:val="1"/>
          <w:numId w:val="6"/>
        </w:numPr>
        <w:spacing w:after="120" w:line="276" w:lineRule="auto"/>
        <w:jc w:val="both"/>
      </w:pPr>
      <w:r w:rsidRPr="00406195">
        <w:t xml:space="preserve">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0" w:name="_Hlk49934365"/>
      <w:r w:rsidRPr="00406195">
        <w:t>v souvislosti s jakoukoli veřejnou zakázkou či jiným poptávkovým řízením realizovaným pro Objednatele jako zadavatele některý trestný čin podle § 216, § 256, § 257, § 331, § 332 nebo § 333 trestního zákoníku</w:t>
      </w:r>
      <w:bookmarkEnd w:id="10"/>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w:t>
      </w:r>
      <w:r w:rsidRPr="00406195">
        <w:lastRenderedPageBreak/>
        <w:t>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296A579A" w14:textId="77777777" w:rsidR="002A6673" w:rsidRPr="00406195" w:rsidRDefault="002A6673" w:rsidP="002A6673">
      <w:pPr>
        <w:numPr>
          <w:ilvl w:val="1"/>
          <w:numId w:val="6"/>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6FAF6F15" w14:textId="77777777" w:rsidR="002A6673" w:rsidRPr="00406195" w:rsidRDefault="002A6673" w:rsidP="002A6673">
      <w:pPr>
        <w:spacing w:line="280" w:lineRule="atLeast"/>
        <w:contextualSpacing/>
        <w:jc w:val="both"/>
        <w:rPr>
          <w:rFonts w:cs="Arial"/>
          <w:szCs w:val="20"/>
        </w:rPr>
      </w:pPr>
    </w:p>
    <w:p w14:paraId="3845650D" w14:textId="77777777" w:rsidR="002A6673" w:rsidRPr="00D71308" w:rsidRDefault="002A6673" w:rsidP="002A6673">
      <w:pPr>
        <w:pStyle w:val="Odstavecseseznamem"/>
        <w:numPr>
          <w:ilvl w:val="0"/>
          <w:numId w:val="6"/>
        </w:numPr>
        <w:spacing w:line="280" w:lineRule="atLeast"/>
        <w:ind w:left="425" w:hanging="425"/>
        <w:contextualSpacing/>
        <w:jc w:val="both"/>
        <w:rPr>
          <w:rFonts w:cs="Arial"/>
          <w:szCs w:val="20"/>
        </w:rPr>
      </w:pPr>
      <w:r w:rsidRPr="00406195">
        <w:rPr>
          <w:rFonts w:cs="Arial"/>
          <w:szCs w:val="20"/>
        </w:rPr>
        <w:t xml:space="preserve">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cenu i částečně neuhradí z důvodu porušení smlouvy prodávajícím (např. v rámci uplatnění slevy z ceny při vadném plnění).</w:t>
      </w:r>
    </w:p>
    <w:p w14:paraId="59427744" w14:textId="77777777" w:rsidR="002A6673" w:rsidRPr="00D71308" w:rsidRDefault="002A6673" w:rsidP="002A6673">
      <w:pPr>
        <w:pStyle w:val="Odstavecseseznamem"/>
        <w:spacing w:line="280" w:lineRule="atLeast"/>
        <w:ind w:left="426"/>
        <w:contextualSpacing/>
        <w:jc w:val="both"/>
        <w:rPr>
          <w:rFonts w:cs="Arial"/>
          <w:szCs w:val="20"/>
        </w:rPr>
      </w:pPr>
    </w:p>
    <w:p w14:paraId="65E659D9" w14:textId="77777777" w:rsidR="002A6673" w:rsidRPr="00D71308"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5111B41F" w14:textId="77777777" w:rsidR="002A6673" w:rsidRPr="00D71308" w:rsidRDefault="002A6673" w:rsidP="002A6673">
      <w:pPr>
        <w:pStyle w:val="Odstavecseseznamem"/>
        <w:spacing w:line="280" w:lineRule="atLeast"/>
        <w:ind w:left="425"/>
        <w:contextualSpacing/>
        <w:jc w:val="both"/>
        <w:rPr>
          <w:rFonts w:cs="Arial"/>
          <w:szCs w:val="20"/>
        </w:rPr>
      </w:pPr>
    </w:p>
    <w:p w14:paraId="2F37DE62" w14:textId="77777777" w:rsidR="002A6673" w:rsidRPr="004E5189"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 xml:space="preserve">Odstoupení od </w:t>
      </w:r>
      <w:r>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D5B1645" w14:textId="77777777" w:rsidR="002A6673" w:rsidRDefault="002A6673" w:rsidP="002A6673">
      <w:pPr>
        <w:spacing w:line="280" w:lineRule="atLeast"/>
        <w:jc w:val="both"/>
        <w:rPr>
          <w:rFonts w:cs="Arial"/>
          <w:sz w:val="16"/>
          <w:szCs w:val="20"/>
        </w:rPr>
      </w:pPr>
    </w:p>
    <w:p w14:paraId="7A71FF2C"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02573E56" w14:textId="77777777" w:rsidR="002A6673" w:rsidRDefault="002A6673" w:rsidP="002A6673">
      <w:pPr>
        <w:spacing w:line="280" w:lineRule="atLeast"/>
        <w:ind w:left="426" w:hanging="69"/>
        <w:jc w:val="both"/>
        <w:rPr>
          <w:rFonts w:cs="Arial"/>
          <w:szCs w:val="20"/>
        </w:rPr>
      </w:pPr>
    </w:p>
    <w:p w14:paraId="67FF2CC0"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4364B4D8" w14:textId="77777777" w:rsidR="002A6673" w:rsidRDefault="002A6673" w:rsidP="002A6673">
      <w:pPr>
        <w:spacing w:line="280" w:lineRule="atLeast"/>
        <w:jc w:val="both"/>
        <w:rPr>
          <w:rFonts w:cs="Arial"/>
          <w:szCs w:val="20"/>
        </w:rPr>
      </w:pPr>
    </w:p>
    <w:p w14:paraId="097A8CF3"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D7E0EE2" w14:textId="77777777" w:rsidR="002A6673" w:rsidRPr="0080343C" w:rsidRDefault="002A6673" w:rsidP="002A6673">
      <w:pPr>
        <w:pStyle w:val="Odstavecseseznamem"/>
        <w:rPr>
          <w:rFonts w:cs="Arial"/>
          <w:szCs w:val="20"/>
        </w:rPr>
      </w:pPr>
    </w:p>
    <w:p w14:paraId="280DCE51" w14:textId="0D7DC298" w:rsidR="002A6673" w:rsidRDefault="002A6673" w:rsidP="002A6673">
      <w:pPr>
        <w:pStyle w:val="Odstavecseseznamem"/>
        <w:numPr>
          <w:ilvl w:val="0"/>
          <w:numId w:val="6"/>
        </w:numPr>
        <w:spacing w:line="280" w:lineRule="atLeast"/>
        <w:ind w:left="426" w:hanging="426"/>
        <w:contextualSpacing/>
        <w:jc w:val="both"/>
        <w:rPr>
          <w:rFonts w:cs="Arial"/>
          <w:b/>
          <w:szCs w:val="20"/>
        </w:rPr>
      </w:pPr>
      <w:r w:rsidRPr="009A6560">
        <w:rPr>
          <w:rFonts w:cs="Arial"/>
          <w:szCs w:val="20"/>
        </w:rPr>
        <w:t xml:space="preserve">V případě, že kupující odstoupí od smlouvy pro některé z porušení smlouvy prodávajícím specifikované v čl. </w:t>
      </w:r>
      <w:r w:rsidR="00C04528">
        <w:rPr>
          <w:rFonts w:cs="Arial"/>
          <w:szCs w:val="20"/>
        </w:rPr>
        <w:t>VII</w:t>
      </w:r>
      <w:r w:rsidR="00EA4D1D">
        <w:rPr>
          <w:rFonts w:cs="Arial"/>
          <w:szCs w:val="20"/>
        </w:rPr>
        <w:t>I</w:t>
      </w:r>
      <w:r w:rsidRPr="009A6560">
        <w:rPr>
          <w:rFonts w:cs="Arial"/>
          <w:szCs w:val="20"/>
        </w:rPr>
        <w:t>. odst. 3., 4. nebo 6. smlouvy, vyhrazuje si kupující v souladu s </w:t>
      </w:r>
      <w:proofErr w:type="spellStart"/>
      <w:r w:rsidRPr="009A6560">
        <w:rPr>
          <w:rFonts w:cs="Arial"/>
          <w:szCs w:val="20"/>
        </w:rPr>
        <w:t>ust</w:t>
      </w:r>
      <w:proofErr w:type="spellEnd"/>
      <w:r w:rsidRPr="009A6560">
        <w:rPr>
          <w:rFonts w:cs="Arial"/>
          <w:szCs w:val="20"/>
        </w:rPr>
        <w:t>. § 100 odst. 2 ZZVZ ve spojení s </w:t>
      </w:r>
      <w:proofErr w:type="spellStart"/>
      <w:r w:rsidRPr="009A6560">
        <w:rPr>
          <w:rFonts w:cs="Arial"/>
          <w:szCs w:val="20"/>
        </w:rPr>
        <w:t>ust</w:t>
      </w:r>
      <w:proofErr w:type="spellEnd"/>
      <w:r w:rsidRPr="009A6560">
        <w:rPr>
          <w:rFonts w:cs="Arial"/>
          <w:szCs w:val="20"/>
        </w:rPr>
        <w:t>. § 222 odst. 10 písm. a) ZZVZ použití oprávnění uvedeného v čl. 1</w:t>
      </w:r>
      <w:r w:rsidR="00C04528">
        <w:rPr>
          <w:rFonts w:cs="Arial"/>
          <w:szCs w:val="20"/>
        </w:rPr>
        <w:t>3</w:t>
      </w:r>
      <w:r w:rsidRPr="009A6560">
        <w:rPr>
          <w:rFonts w:cs="Arial"/>
          <w:szCs w:val="20"/>
        </w:rPr>
        <w:t xml:space="preserve"> zadávací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w:t>
      </w:r>
      <w:r w:rsidRPr="009A6560">
        <w:rPr>
          <w:rFonts w:cs="Arial"/>
          <w:szCs w:val="20"/>
        </w:rPr>
        <w:lastRenderedPageBreak/>
        <w:t>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34B0C794" w14:textId="77777777" w:rsidR="002E1F3C" w:rsidRDefault="002E1F3C" w:rsidP="002E1F3C">
      <w:pPr>
        <w:spacing w:line="280" w:lineRule="atLeast"/>
        <w:ind w:left="340"/>
        <w:jc w:val="both"/>
        <w:rPr>
          <w:rFonts w:cs="Arial"/>
          <w:szCs w:val="20"/>
        </w:rPr>
      </w:pPr>
    </w:p>
    <w:p w14:paraId="7CE53D8C" w14:textId="77777777" w:rsidR="002E1F3C" w:rsidRPr="00DA2C52" w:rsidRDefault="002E1F3C" w:rsidP="002E1F3C">
      <w:pPr>
        <w:spacing w:line="280" w:lineRule="atLeast"/>
        <w:ind w:left="340"/>
        <w:jc w:val="both"/>
        <w:rPr>
          <w:rFonts w:cs="Arial"/>
          <w:szCs w:val="20"/>
        </w:rPr>
      </w:pPr>
    </w:p>
    <w:p w14:paraId="01771A53"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51399C5F" w14:textId="77777777" w:rsidR="002E1F3C" w:rsidRDefault="002E1F3C" w:rsidP="002E1F3C">
      <w:pPr>
        <w:spacing w:line="280" w:lineRule="atLeast"/>
        <w:jc w:val="center"/>
        <w:rPr>
          <w:rFonts w:cs="Arial"/>
          <w:b/>
          <w:szCs w:val="20"/>
        </w:rPr>
      </w:pPr>
      <w:r>
        <w:rPr>
          <w:rFonts w:cs="Arial"/>
          <w:b/>
          <w:szCs w:val="20"/>
        </w:rPr>
        <w:t>Náhrada újmy, vyšší moc</w:t>
      </w:r>
    </w:p>
    <w:p w14:paraId="2A30C786" w14:textId="77777777" w:rsidR="002E1F3C" w:rsidRDefault="002E1F3C" w:rsidP="002E1F3C">
      <w:pPr>
        <w:spacing w:line="280" w:lineRule="atLeast"/>
        <w:jc w:val="center"/>
        <w:rPr>
          <w:rFonts w:cs="Arial"/>
          <w:b/>
          <w:szCs w:val="20"/>
        </w:rPr>
      </w:pPr>
    </w:p>
    <w:p w14:paraId="2C632AE9" w14:textId="77777777" w:rsidR="002A6673" w:rsidRPr="005F1556" w:rsidRDefault="002A6673" w:rsidP="002A6673">
      <w:pPr>
        <w:numPr>
          <w:ilvl w:val="0"/>
          <w:numId w:val="38"/>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371EE34" w14:textId="77777777" w:rsidR="002A6673" w:rsidRPr="005F1556" w:rsidRDefault="002A6673" w:rsidP="002A6673">
      <w:pPr>
        <w:numPr>
          <w:ilvl w:val="0"/>
          <w:numId w:val="37"/>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74CC3E9E" w14:textId="77777777" w:rsidR="002A6673" w:rsidRPr="005F1556" w:rsidRDefault="002A6673" w:rsidP="002A6673">
      <w:pPr>
        <w:pStyle w:val="Odstavecseseznamem"/>
        <w:rPr>
          <w:rFonts w:cs="Arial"/>
          <w:b/>
          <w:szCs w:val="20"/>
        </w:rPr>
      </w:pPr>
    </w:p>
    <w:p w14:paraId="5A8B2BCF" w14:textId="77777777" w:rsidR="002A6673" w:rsidRPr="005F1556" w:rsidRDefault="002A6673" w:rsidP="002A6673">
      <w:pPr>
        <w:numPr>
          <w:ilvl w:val="0"/>
          <w:numId w:val="37"/>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281C7A25" w14:textId="77777777" w:rsidR="002A6673" w:rsidRPr="005F1556" w:rsidRDefault="002A6673" w:rsidP="002A6673">
      <w:pPr>
        <w:rPr>
          <w:rFonts w:cs="Arial"/>
          <w:b/>
          <w:szCs w:val="20"/>
        </w:rPr>
      </w:pPr>
    </w:p>
    <w:p w14:paraId="67869E07" w14:textId="77777777" w:rsidR="002A6673" w:rsidRPr="00D71308" w:rsidRDefault="002A6673" w:rsidP="002A6673">
      <w:pPr>
        <w:numPr>
          <w:ilvl w:val="0"/>
          <w:numId w:val="37"/>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2696269" w14:textId="77777777" w:rsidR="002A6673" w:rsidRPr="00D71308" w:rsidRDefault="002A6673" w:rsidP="002A6673">
      <w:pPr>
        <w:spacing w:line="280" w:lineRule="atLeast"/>
        <w:ind w:left="340"/>
        <w:jc w:val="both"/>
        <w:rPr>
          <w:rFonts w:cs="Arial"/>
          <w:b/>
          <w:szCs w:val="20"/>
        </w:rPr>
      </w:pPr>
    </w:p>
    <w:p w14:paraId="0FF13741" w14:textId="77777777" w:rsidR="002A6673" w:rsidRPr="005F1556" w:rsidRDefault="002A6673" w:rsidP="002A6673">
      <w:pPr>
        <w:numPr>
          <w:ilvl w:val="0"/>
          <w:numId w:val="37"/>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3E17BAD" w14:textId="77777777" w:rsidR="002A6673" w:rsidRDefault="002A6673" w:rsidP="002A6673">
      <w:pPr>
        <w:pStyle w:val="Odstavecseseznamem"/>
        <w:rPr>
          <w:rFonts w:cs="Arial"/>
          <w:b/>
          <w:szCs w:val="20"/>
        </w:rPr>
      </w:pPr>
    </w:p>
    <w:p w14:paraId="6C526520" w14:textId="77777777" w:rsidR="002A6673" w:rsidRPr="006344D7" w:rsidRDefault="002A6673" w:rsidP="002A6673">
      <w:pPr>
        <w:numPr>
          <w:ilvl w:val="0"/>
          <w:numId w:val="37"/>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2FFE6F31" w14:textId="77777777" w:rsidR="002A6673" w:rsidRPr="006344D7" w:rsidRDefault="002A6673" w:rsidP="002A6673">
      <w:pPr>
        <w:pStyle w:val="Odstavecseseznamem"/>
        <w:rPr>
          <w:rFonts w:cs="Arial"/>
          <w:b/>
          <w:szCs w:val="20"/>
        </w:rPr>
      </w:pPr>
    </w:p>
    <w:p w14:paraId="4EFC7A4D" w14:textId="77777777" w:rsidR="002A6673" w:rsidRDefault="002A6673" w:rsidP="002A6673">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46ECAB19" w14:textId="77777777" w:rsidR="002A6673" w:rsidRDefault="002A6673" w:rsidP="002A6673">
      <w:pPr>
        <w:pStyle w:val="Odstavecseseznamem"/>
        <w:rPr>
          <w:rFonts w:cs="Arial"/>
          <w:szCs w:val="20"/>
        </w:rPr>
      </w:pPr>
    </w:p>
    <w:p w14:paraId="006CB0BB"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64C4B6D2" w14:textId="77CDE2D4" w:rsidR="002A6673" w:rsidRDefault="002A6673" w:rsidP="002A6673">
      <w:pPr>
        <w:spacing w:line="280" w:lineRule="atLeast"/>
        <w:jc w:val="center"/>
        <w:rPr>
          <w:rFonts w:cs="Arial"/>
          <w:b/>
          <w:bCs/>
          <w:szCs w:val="20"/>
        </w:rPr>
      </w:pPr>
      <w:r>
        <w:rPr>
          <w:b/>
          <w:bCs/>
        </w:rPr>
        <w:t>X.</w:t>
      </w:r>
    </w:p>
    <w:p w14:paraId="69A67BAA"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32E32B36" w14:textId="77777777" w:rsidR="002A6673" w:rsidRPr="00A23EBC" w:rsidRDefault="002A6673" w:rsidP="002A6673">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1"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FFD7329" w14:textId="77777777" w:rsidR="002A6673" w:rsidRPr="00A23EBC" w:rsidRDefault="002A6673" w:rsidP="002A6673">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937BCBE" w14:textId="77777777" w:rsidR="002A6673" w:rsidRPr="00A23EBC" w:rsidRDefault="002A6673" w:rsidP="002A6673">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A509E7C" w14:textId="720532C3" w:rsidR="002A6673" w:rsidRPr="00145B5F" w:rsidRDefault="002A6673" w:rsidP="002A6673">
      <w:pPr>
        <w:pStyle w:val="Odstavecseseznamem"/>
        <w:numPr>
          <w:ilvl w:val="0"/>
          <w:numId w:val="3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0" w:history="1">
        <w:r w:rsidR="00706FC2" w:rsidRPr="00706FC2">
          <w:rPr>
            <w:rStyle w:val="Hypertextovodkaz"/>
          </w:rPr>
          <w:t>www.egd</w:t>
        </w:r>
        <w:r w:rsidR="00706FC2" w:rsidRPr="00AB12D3">
          <w:rPr>
            <w:rStyle w:val="Hypertextovodkaz"/>
          </w:rPr>
          <w:t>.cz</w:t>
        </w:r>
      </w:hyperlink>
      <w:r>
        <w:rPr>
          <w:color w:val="1E1E1E"/>
        </w:rPr>
        <w:t xml:space="preserve"> v sekci Ochrana osobních údajů.</w:t>
      </w:r>
      <w:bookmarkEnd w:id="11"/>
    </w:p>
    <w:p w14:paraId="01DCF69C" w14:textId="77777777" w:rsidR="002E1F3C" w:rsidRDefault="002E1F3C" w:rsidP="002E1F3C">
      <w:pPr>
        <w:pStyle w:val="Odstavecseseznamem"/>
        <w:rPr>
          <w:rFonts w:cs="Arial"/>
          <w:b/>
          <w:szCs w:val="20"/>
        </w:rPr>
      </w:pPr>
    </w:p>
    <w:p w14:paraId="435D9FCC" w14:textId="13E38FB2" w:rsidR="00C65B5F" w:rsidRDefault="00952478" w:rsidP="00952478">
      <w:pPr>
        <w:spacing w:line="280" w:lineRule="atLeast"/>
        <w:jc w:val="center"/>
        <w:rPr>
          <w:rFonts w:cs="Arial"/>
          <w:b/>
          <w:szCs w:val="20"/>
        </w:rPr>
      </w:pPr>
      <w:r>
        <w:rPr>
          <w:rFonts w:cs="Arial"/>
          <w:b/>
          <w:szCs w:val="20"/>
        </w:rPr>
        <w:t>X</w:t>
      </w:r>
      <w:r w:rsidR="005E14E8">
        <w:rPr>
          <w:rFonts w:cs="Arial"/>
          <w:b/>
          <w:szCs w:val="20"/>
        </w:rPr>
        <w:t>I</w:t>
      </w:r>
    </w:p>
    <w:p w14:paraId="7F5CBD83" w14:textId="76CF2641" w:rsidR="00952478" w:rsidRDefault="00952478" w:rsidP="00952478">
      <w:pPr>
        <w:spacing w:line="280" w:lineRule="atLeast"/>
        <w:jc w:val="center"/>
        <w:rPr>
          <w:rFonts w:cs="Arial"/>
          <w:b/>
          <w:szCs w:val="20"/>
        </w:rPr>
      </w:pPr>
      <w:r w:rsidRPr="00952478">
        <w:rPr>
          <w:rFonts w:cs="Arial"/>
          <w:b/>
          <w:szCs w:val="20"/>
        </w:rPr>
        <w:t>Povinnosti související se spolufinancováním projektu</w:t>
      </w:r>
    </w:p>
    <w:p w14:paraId="10402188" w14:textId="77777777" w:rsidR="00952478" w:rsidRPr="00952478" w:rsidRDefault="00952478" w:rsidP="00952478">
      <w:pPr>
        <w:numPr>
          <w:ilvl w:val="0"/>
          <w:numId w:val="45"/>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952478">
        <w:rPr>
          <w:rFonts w:eastAsiaTheme="minorHAnsi" w:cs="Arial"/>
          <w:b/>
          <w:color w:val="1E1E1E"/>
          <w:szCs w:val="20"/>
          <w:lang w:eastAsia="en-US"/>
        </w:rPr>
        <w:t>Agentura</w:t>
      </w:r>
      <w:r w:rsidRPr="00952478">
        <w:rPr>
          <w:rFonts w:eastAsiaTheme="minorHAnsi" w:cs="Arial"/>
          <w:color w:val="1E1E1E"/>
          <w:szCs w:val="20"/>
          <w:lang w:eastAsia="en-US"/>
        </w:rPr>
        <w:t>“) grantovou smlouvu INEA/CEF/ENER/M2018/1749672 („</w:t>
      </w:r>
      <w:r w:rsidRPr="00952478">
        <w:rPr>
          <w:rFonts w:eastAsiaTheme="minorHAnsi" w:cs="Arial"/>
          <w:b/>
          <w:color w:val="1E1E1E"/>
          <w:szCs w:val="20"/>
          <w:lang w:eastAsia="en-US"/>
        </w:rPr>
        <w:t>Grantová smlouva</w:t>
      </w:r>
      <w:r w:rsidRPr="00952478">
        <w:rPr>
          <w:rFonts w:eastAsiaTheme="minorHAnsi" w:cs="Arial"/>
          <w:color w:val="1E1E1E"/>
          <w:szCs w:val="20"/>
          <w:lang w:eastAsia="en-US"/>
        </w:rPr>
        <w:t xml:space="preserve">“). Předmětem Grantové smlouvy je za podmínek v ní stanovených spolufinancování projektu s názvem „ACON Smart </w:t>
      </w:r>
      <w:proofErr w:type="spellStart"/>
      <w:r w:rsidRPr="00952478">
        <w:rPr>
          <w:rFonts w:eastAsiaTheme="minorHAnsi" w:cs="Arial"/>
          <w:color w:val="1E1E1E"/>
          <w:szCs w:val="20"/>
          <w:lang w:eastAsia="en-US"/>
        </w:rPr>
        <w:t>Grids</w:t>
      </w:r>
      <w:proofErr w:type="spellEnd"/>
      <w:r w:rsidRPr="00952478">
        <w:rPr>
          <w:rFonts w:eastAsiaTheme="minorHAnsi" w:cs="Arial"/>
          <w:color w:val="1E1E1E"/>
          <w:szCs w:val="20"/>
          <w:lang w:eastAsia="en-US"/>
        </w:rPr>
        <w:t>“ („</w:t>
      </w:r>
      <w:r w:rsidRPr="00952478">
        <w:rPr>
          <w:rFonts w:eastAsiaTheme="minorHAnsi" w:cs="Arial"/>
          <w:b/>
          <w:color w:val="1E1E1E"/>
          <w:szCs w:val="20"/>
          <w:lang w:eastAsia="en-US"/>
        </w:rPr>
        <w:t>Projekt</w:t>
      </w:r>
      <w:r w:rsidRPr="00952478">
        <w:rPr>
          <w:rFonts w:eastAsiaTheme="minorHAnsi" w:cs="Arial"/>
          <w:color w:val="1E1E1E"/>
          <w:szCs w:val="20"/>
          <w:lang w:eastAsia="en-US"/>
        </w:rPr>
        <w:t>“), jehož je předmět plnění této smlouvy součástí.</w:t>
      </w:r>
    </w:p>
    <w:p w14:paraId="07531F13" w14:textId="77777777" w:rsidR="00952478" w:rsidRPr="00952478" w:rsidRDefault="00952478" w:rsidP="00952478">
      <w:pPr>
        <w:numPr>
          <w:ilvl w:val="0"/>
          <w:numId w:val="45"/>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1ADBC604" w14:textId="77777777" w:rsidR="00952478" w:rsidRPr="00952478" w:rsidRDefault="00952478" w:rsidP="00952478">
      <w:pPr>
        <w:numPr>
          <w:ilvl w:val="0"/>
          <w:numId w:val="45"/>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tímto prohlašuje, že nemá a ani uzavřením smlouvy nebude uplatňovat vůči Agentuře podle Grantové smlouvy žádná práva.</w:t>
      </w:r>
    </w:p>
    <w:p w14:paraId="7C483E13" w14:textId="77777777" w:rsidR="00952478" w:rsidRPr="00952478" w:rsidRDefault="00952478" w:rsidP="00952478">
      <w:pPr>
        <w:numPr>
          <w:ilvl w:val="0"/>
          <w:numId w:val="45"/>
        </w:numPr>
        <w:spacing w:before="120" w:after="120" w:line="280" w:lineRule="atLeast"/>
        <w:jc w:val="both"/>
        <w:rPr>
          <w:rFonts w:eastAsiaTheme="minorHAnsi" w:cs="Arial"/>
          <w:color w:val="1E1E1E"/>
          <w:szCs w:val="20"/>
          <w:lang w:eastAsia="en-US"/>
        </w:rPr>
      </w:pPr>
      <w:r w:rsidRPr="00952478">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7A8248B3" w14:textId="77777777" w:rsidR="00952478" w:rsidRPr="00952478" w:rsidRDefault="00952478" w:rsidP="00952478">
      <w:pPr>
        <w:spacing w:line="276" w:lineRule="auto"/>
        <w:ind w:left="708"/>
        <w:jc w:val="both"/>
        <w:rPr>
          <w:rFonts w:cs="Arial"/>
          <w:iCs/>
        </w:rPr>
      </w:pPr>
    </w:p>
    <w:p w14:paraId="732BE725" w14:textId="77777777" w:rsidR="00952478" w:rsidRPr="00952478" w:rsidRDefault="00952478" w:rsidP="00952478">
      <w:pPr>
        <w:spacing w:line="276" w:lineRule="auto"/>
        <w:ind w:firstLine="708"/>
        <w:jc w:val="both"/>
        <w:rPr>
          <w:rFonts w:cs="Arial"/>
          <w:b/>
          <w:bCs/>
          <w:i/>
          <w:iCs/>
        </w:rPr>
      </w:pPr>
      <w:r w:rsidRPr="00952478">
        <w:rPr>
          <w:rFonts w:cs="Arial"/>
          <w:b/>
          <w:bCs/>
          <w:i/>
          <w:iCs/>
        </w:rPr>
        <w:t>Článek II. 3 Grantové smlouvy – Odpovědnost za škody</w:t>
      </w:r>
    </w:p>
    <w:p w14:paraId="764F7AD6" w14:textId="77777777" w:rsidR="00952478" w:rsidRPr="00952478" w:rsidRDefault="00952478" w:rsidP="00952478">
      <w:pPr>
        <w:spacing w:line="276" w:lineRule="auto"/>
        <w:ind w:left="720" w:hanging="12"/>
        <w:jc w:val="both"/>
        <w:rPr>
          <w:rFonts w:cs="Arial"/>
          <w:i/>
          <w:iCs/>
        </w:rPr>
      </w:pPr>
      <w:r w:rsidRPr="00952478">
        <w:rPr>
          <w:rFonts w:cs="Arial"/>
          <w:i/>
          <w:iCs/>
        </w:rPr>
        <w:lastRenderedPageBreak/>
        <w:t xml:space="preserve">II.3.1     Agentura nenese odpovědnost za žádné škody způsobené příjemcům nebo třetím stranám v důsledku nebo v průběhu realizace Projektu. </w:t>
      </w:r>
    </w:p>
    <w:p w14:paraId="62286272" w14:textId="77777777" w:rsidR="00952478" w:rsidRPr="00952478" w:rsidRDefault="00952478" w:rsidP="00952478">
      <w:pPr>
        <w:spacing w:line="276" w:lineRule="auto"/>
        <w:ind w:left="720" w:hanging="12"/>
        <w:jc w:val="both"/>
        <w:rPr>
          <w:rFonts w:cs="Arial"/>
          <w:i/>
          <w:iCs/>
        </w:rPr>
      </w:pPr>
      <w:r w:rsidRPr="00952478">
        <w:rPr>
          <w:rFonts w:cs="Arial"/>
          <w:i/>
          <w:iCs/>
        </w:rPr>
        <w:t>II.3.2     S výjimkou případů vyšší moci příjemci nahradí Agentuře jakoukoli škodu, která jí vznikla v důsledku realizace Projektu, nebo proto, že Projekt nebyl realizován plně v souladu s Grantovou smlouvou.</w:t>
      </w:r>
    </w:p>
    <w:p w14:paraId="42558F3F" w14:textId="77777777" w:rsidR="00952478" w:rsidRPr="00952478" w:rsidRDefault="00952478" w:rsidP="00952478">
      <w:pPr>
        <w:spacing w:line="276" w:lineRule="auto"/>
        <w:ind w:firstLine="708"/>
        <w:jc w:val="both"/>
        <w:rPr>
          <w:rFonts w:cs="Arial"/>
          <w:b/>
          <w:bCs/>
          <w:i/>
          <w:iCs/>
        </w:rPr>
      </w:pPr>
      <w:r w:rsidRPr="00952478">
        <w:rPr>
          <w:rFonts w:cs="Arial"/>
          <w:b/>
          <w:bCs/>
          <w:i/>
          <w:iCs/>
        </w:rPr>
        <w:t>Článek II.4 Grantové smlouvy – Střet zájmů</w:t>
      </w:r>
    </w:p>
    <w:p w14:paraId="676549F0" w14:textId="77777777" w:rsidR="00952478" w:rsidRPr="00952478" w:rsidRDefault="00952478" w:rsidP="00952478">
      <w:pPr>
        <w:spacing w:line="276" w:lineRule="auto"/>
        <w:ind w:left="720" w:hanging="12"/>
        <w:jc w:val="both"/>
        <w:rPr>
          <w:rFonts w:cs="Arial"/>
          <w:i/>
          <w:iCs/>
        </w:rPr>
      </w:pPr>
      <w:r w:rsidRPr="00952478">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33D2652A" w14:textId="77777777" w:rsidR="00952478" w:rsidRPr="00952478" w:rsidRDefault="00952478" w:rsidP="00952478">
      <w:pPr>
        <w:spacing w:line="276" w:lineRule="auto"/>
        <w:ind w:left="720" w:hanging="12"/>
        <w:jc w:val="both"/>
        <w:rPr>
          <w:rFonts w:cs="Arial"/>
          <w:i/>
          <w:iCs/>
        </w:rPr>
      </w:pPr>
      <w:r w:rsidRPr="00952478">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297FC218" w14:textId="77777777" w:rsidR="00952478" w:rsidRPr="00952478" w:rsidRDefault="00952478" w:rsidP="00952478">
      <w:pPr>
        <w:spacing w:line="276" w:lineRule="auto"/>
        <w:ind w:firstLine="708"/>
        <w:jc w:val="both"/>
        <w:rPr>
          <w:rFonts w:cs="Arial"/>
          <w:b/>
          <w:bCs/>
          <w:i/>
          <w:iCs/>
        </w:rPr>
      </w:pPr>
      <w:r w:rsidRPr="00952478">
        <w:rPr>
          <w:rFonts w:cs="Arial"/>
          <w:b/>
          <w:bCs/>
          <w:i/>
          <w:iCs/>
        </w:rPr>
        <w:t>Článek II.5 Grantové smlouvy – Důvěrnost informací</w:t>
      </w:r>
    </w:p>
    <w:p w14:paraId="2545D149" w14:textId="77777777" w:rsidR="00952478" w:rsidRPr="00952478" w:rsidRDefault="00952478" w:rsidP="00952478">
      <w:pPr>
        <w:spacing w:line="276" w:lineRule="auto"/>
        <w:ind w:left="720" w:hanging="12"/>
        <w:jc w:val="both"/>
        <w:rPr>
          <w:rFonts w:cs="Arial"/>
          <w:i/>
          <w:iCs/>
        </w:rPr>
      </w:pPr>
      <w:r w:rsidRPr="00952478">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027AAAB3" w14:textId="77777777" w:rsidR="00952478" w:rsidRPr="00952478" w:rsidRDefault="00952478" w:rsidP="00952478">
      <w:pPr>
        <w:spacing w:line="276" w:lineRule="auto"/>
        <w:ind w:left="720" w:hanging="12"/>
        <w:jc w:val="both"/>
        <w:rPr>
          <w:rFonts w:cs="Arial"/>
          <w:i/>
          <w:iCs/>
        </w:rPr>
      </w:pPr>
      <w:r w:rsidRPr="00952478">
        <w:rPr>
          <w:rFonts w:cs="Arial"/>
          <w:i/>
          <w:iCs/>
        </w:rPr>
        <w:t>II.5.2     Pokud není s druhou stranou písemně dohodnuto jinak, nesmí příjemci použít důvěrné informace a dokumenty k jinému účelu než plnění jejich povinností dle Grantové smlouvy.</w:t>
      </w:r>
    </w:p>
    <w:p w14:paraId="36F34BF3" w14:textId="77777777" w:rsidR="00952478" w:rsidRPr="00952478" w:rsidRDefault="00952478" w:rsidP="00952478">
      <w:pPr>
        <w:spacing w:line="276" w:lineRule="auto"/>
        <w:ind w:left="720" w:hanging="12"/>
        <w:jc w:val="both"/>
        <w:rPr>
          <w:rFonts w:cs="Arial"/>
          <w:i/>
          <w:iCs/>
        </w:rPr>
      </w:pPr>
      <w:r w:rsidRPr="00952478">
        <w:rPr>
          <w:rFonts w:cs="Arial"/>
          <w:i/>
          <w:iCs/>
        </w:rPr>
        <w:t xml:space="preserve">II.5.3     Agentura a Příjemci jsou vázáni povinnostmi stanovenými v článcích II.5.1 a II.5.2 v průběhu plnění Grantové smlouvy a po dobu 5 let od proplacení zůstatku, s výjimkou případů, kdy: </w:t>
      </w:r>
    </w:p>
    <w:p w14:paraId="2EB58897" w14:textId="77777777" w:rsidR="00952478" w:rsidRPr="00952478" w:rsidRDefault="00952478" w:rsidP="00952478">
      <w:pPr>
        <w:numPr>
          <w:ilvl w:val="0"/>
          <w:numId w:val="42"/>
        </w:numPr>
        <w:spacing w:before="120" w:after="120" w:line="276" w:lineRule="auto"/>
        <w:ind w:left="1418" w:hanging="709"/>
        <w:contextualSpacing/>
        <w:jc w:val="both"/>
        <w:rPr>
          <w:rFonts w:cs="Arial"/>
          <w:i/>
          <w:iCs/>
        </w:rPr>
      </w:pPr>
      <w:r w:rsidRPr="00952478">
        <w:rPr>
          <w:rFonts w:cs="Arial"/>
          <w:i/>
          <w:iCs/>
        </w:rPr>
        <w:t>strana, které dané informace poskytla, této povinnosti druhou stranu předem zprostí;</w:t>
      </w:r>
    </w:p>
    <w:p w14:paraId="0545D523" w14:textId="77777777" w:rsidR="00952478" w:rsidRPr="00952478" w:rsidRDefault="00952478" w:rsidP="00952478">
      <w:pPr>
        <w:numPr>
          <w:ilvl w:val="0"/>
          <w:numId w:val="42"/>
        </w:numPr>
        <w:spacing w:before="120" w:after="120" w:line="276" w:lineRule="auto"/>
        <w:ind w:left="1418" w:hanging="709"/>
        <w:contextualSpacing/>
        <w:jc w:val="both"/>
        <w:rPr>
          <w:rFonts w:cs="Arial"/>
          <w:i/>
          <w:iCs/>
        </w:rPr>
      </w:pPr>
      <w:r w:rsidRPr="00952478">
        <w:rPr>
          <w:rFonts w:cs="Arial"/>
          <w:i/>
          <w:iCs/>
        </w:rPr>
        <w:t>důvěrné informace se stanou veřejnými, aniž by došlo k porušení povinnosti mlčenlivosti některou ze stran vázané touto povinností;</w:t>
      </w:r>
    </w:p>
    <w:p w14:paraId="630E4FBE" w14:textId="77777777" w:rsidR="00952478" w:rsidRPr="00952478" w:rsidRDefault="00952478" w:rsidP="00952478">
      <w:pPr>
        <w:numPr>
          <w:ilvl w:val="0"/>
          <w:numId w:val="42"/>
        </w:numPr>
        <w:spacing w:before="120" w:after="120" w:line="276" w:lineRule="auto"/>
        <w:ind w:left="1418" w:hanging="709"/>
        <w:contextualSpacing/>
        <w:jc w:val="both"/>
        <w:rPr>
          <w:rFonts w:cs="Arial"/>
          <w:i/>
          <w:iCs/>
        </w:rPr>
      </w:pPr>
      <w:r w:rsidRPr="00952478">
        <w:rPr>
          <w:rFonts w:cs="Arial"/>
          <w:i/>
          <w:iCs/>
        </w:rPr>
        <w:t>poskytnutí důvěrných informací je vyžadováno právními předpisy.</w:t>
      </w:r>
    </w:p>
    <w:p w14:paraId="3716166C" w14:textId="77777777" w:rsidR="00952478" w:rsidRPr="00952478" w:rsidRDefault="00952478" w:rsidP="00952478">
      <w:pPr>
        <w:spacing w:line="276" w:lineRule="auto"/>
        <w:ind w:firstLine="708"/>
        <w:jc w:val="both"/>
        <w:rPr>
          <w:rFonts w:cs="Arial"/>
          <w:b/>
          <w:bCs/>
          <w:i/>
          <w:iCs/>
        </w:rPr>
      </w:pPr>
      <w:r w:rsidRPr="00952478">
        <w:rPr>
          <w:rFonts w:cs="Arial"/>
          <w:b/>
          <w:bCs/>
          <w:i/>
          <w:iCs/>
        </w:rPr>
        <w:t xml:space="preserve">Článek II.8 Grantové smlouvy – Existující práva, vlastnictví a využívání výsledků </w:t>
      </w:r>
    </w:p>
    <w:p w14:paraId="65670460" w14:textId="77777777" w:rsidR="00952478" w:rsidRPr="00952478" w:rsidRDefault="00952478" w:rsidP="00952478">
      <w:pPr>
        <w:spacing w:line="276" w:lineRule="auto"/>
        <w:ind w:left="720" w:hanging="12"/>
        <w:jc w:val="both"/>
        <w:rPr>
          <w:rFonts w:cs="Arial"/>
          <w:i/>
          <w:iCs/>
        </w:rPr>
      </w:pPr>
      <w:r w:rsidRPr="00952478">
        <w:rPr>
          <w:rFonts w:cs="Arial"/>
          <w:i/>
          <w:iCs/>
        </w:rPr>
        <w:t xml:space="preserve">II.8.1     </w:t>
      </w:r>
      <w:r w:rsidRPr="00952478">
        <w:rPr>
          <w:rFonts w:cs="Arial"/>
          <w:b/>
          <w:bCs/>
          <w:i/>
          <w:iCs/>
        </w:rPr>
        <w:t>Vlastnictví výsledků příjemci</w:t>
      </w:r>
    </w:p>
    <w:p w14:paraId="3C1FBA3B" w14:textId="77777777" w:rsidR="00952478" w:rsidRPr="00952478" w:rsidRDefault="00952478" w:rsidP="00952478">
      <w:pPr>
        <w:spacing w:line="276" w:lineRule="auto"/>
        <w:ind w:left="720"/>
        <w:jc w:val="both"/>
        <w:rPr>
          <w:rFonts w:cs="Arial"/>
          <w:i/>
          <w:iCs/>
        </w:rPr>
      </w:pPr>
      <w:r w:rsidRPr="00952478">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28383DBB" w14:textId="77777777" w:rsidR="00952478" w:rsidRPr="00952478" w:rsidRDefault="00952478" w:rsidP="00952478">
      <w:pPr>
        <w:spacing w:line="276" w:lineRule="auto"/>
        <w:ind w:left="720" w:hanging="12"/>
        <w:jc w:val="both"/>
        <w:rPr>
          <w:rFonts w:cs="Arial"/>
          <w:i/>
          <w:iCs/>
        </w:rPr>
      </w:pPr>
      <w:r w:rsidRPr="00952478">
        <w:rPr>
          <w:rFonts w:cs="Arial"/>
          <w:i/>
          <w:iCs/>
        </w:rPr>
        <w:t xml:space="preserve">II.8.2     </w:t>
      </w:r>
      <w:r w:rsidRPr="00952478">
        <w:rPr>
          <w:rFonts w:cs="Arial"/>
          <w:b/>
          <w:bCs/>
          <w:i/>
          <w:iCs/>
        </w:rPr>
        <w:t>Stávající práva</w:t>
      </w:r>
    </w:p>
    <w:p w14:paraId="10A4EFAD" w14:textId="77777777" w:rsidR="00952478" w:rsidRPr="00952478" w:rsidRDefault="00952478" w:rsidP="00952478">
      <w:pPr>
        <w:spacing w:line="276" w:lineRule="auto"/>
        <w:ind w:left="742" w:hanging="34"/>
        <w:jc w:val="both"/>
        <w:rPr>
          <w:rFonts w:cs="Arial"/>
          <w:i/>
          <w:iCs/>
        </w:rPr>
      </w:pPr>
      <w:r w:rsidRPr="00952478">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228B70EE" w14:textId="77777777" w:rsidR="00952478" w:rsidRPr="00952478" w:rsidRDefault="00952478" w:rsidP="00952478">
      <w:pPr>
        <w:spacing w:line="276" w:lineRule="auto"/>
        <w:ind w:left="720" w:hanging="720"/>
        <w:jc w:val="both"/>
        <w:rPr>
          <w:rFonts w:cs="Arial"/>
          <w:i/>
          <w:iCs/>
        </w:rPr>
      </w:pPr>
      <w:r w:rsidRPr="00952478">
        <w:rPr>
          <w:rFonts w:cs="Arial"/>
          <w:i/>
          <w:iCs/>
        </w:rPr>
        <w:t>              Pokud Agentura písemně požádá příjemce, že hodlá využít některé výsledky, příjemce musí:</w:t>
      </w:r>
    </w:p>
    <w:p w14:paraId="5A780CF6" w14:textId="77777777" w:rsidR="00952478" w:rsidRPr="00952478" w:rsidRDefault="00952478" w:rsidP="00952478">
      <w:pPr>
        <w:numPr>
          <w:ilvl w:val="0"/>
          <w:numId w:val="43"/>
        </w:numPr>
        <w:spacing w:before="120" w:after="120" w:line="276" w:lineRule="auto"/>
        <w:ind w:left="1167" w:hanging="425"/>
        <w:contextualSpacing/>
        <w:jc w:val="both"/>
        <w:rPr>
          <w:rFonts w:cs="Arial"/>
          <w:i/>
          <w:iCs/>
        </w:rPr>
      </w:pPr>
      <w:r w:rsidRPr="00952478">
        <w:rPr>
          <w:rFonts w:cs="Arial"/>
          <w:i/>
          <w:iCs/>
        </w:rPr>
        <w:t>vytvořit seznam obsahující všechny již existující práva obsažená v těchto výsledcích; a</w:t>
      </w:r>
    </w:p>
    <w:p w14:paraId="4A96238A" w14:textId="77777777" w:rsidR="00952478" w:rsidRPr="00952478" w:rsidRDefault="00952478" w:rsidP="00952478">
      <w:pPr>
        <w:numPr>
          <w:ilvl w:val="0"/>
          <w:numId w:val="43"/>
        </w:numPr>
        <w:spacing w:before="120" w:after="120" w:line="276" w:lineRule="auto"/>
        <w:ind w:left="1167" w:hanging="425"/>
        <w:contextualSpacing/>
        <w:jc w:val="both"/>
        <w:rPr>
          <w:rFonts w:cs="Arial"/>
          <w:i/>
          <w:iCs/>
        </w:rPr>
      </w:pPr>
      <w:r w:rsidRPr="00952478">
        <w:rPr>
          <w:rFonts w:cs="Arial"/>
          <w:i/>
          <w:iCs/>
        </w:rPr>
        <w:t>poskytne tento seznam Agentuře nejpozději se žádostí o platbu zůstatku.</w:t>
      </w:r>
    </w:p>
    <w:p w14:paraId="7CDE4DBB" w14:textId="77777777" w:rsidR="00952478" w:rsidRPr="00952478" w:rsidRDefault="00952478" w:rsidP="00952478">
      <w:pPr>
        <w:spacing w:line="276" w:lineRule="auto"/>
        <w:ind w:left="742"/>
        <w:jc w:val="both"/>
        <w:rPr>
          <w:rFonts w:cs="Arial"/>
          <w:i/>
          <w:iCs/>
        </w:rPr>
      </w:pPr>
      <w:r w:rsidRPr="00952478">
        <w:rPr>
          <w:rFonts w:cs="Arial"/>
          <w:i/>
          <w:iCs/>
        </w:rPr>
        <w:t>Příjemci zajistí, aby měly i jejich přidružené subjekty v průběhu realizace Grantové smlouvy veškerá práva na využívání jakýchkoli již existujících práv.</w:t>
      </w:r>
    </w:p>
    <w:p w14:paraId="7758EEA6" w14:textId="77777777" w:rsidR="00952478" w:rsidRPr="00952478" w:rsidRDefault="00952478" w:rsidP="00952478">
      <w:pPr>
        <w:spacing w:line="276" w:lineRule="auto"/>
        <w:ind w:left="720" w:hanging="72"/>
        <w:jc w:val="both"/>
        <w:rPr>
          <w:rFonts w:cs="Arial"/>
          <w:i/>
          <w:iCs/>
        </w:rPr>
      </w:pPr>
      <w:r w:rsidRPr="00952478">
        <w:rPr>
          <w:rFonts w:cs="Arial"/>
          <w:i/>
          <w:iCs/>
        </w:rPr>
        <w:t xml:space="preserve">  II.8.3       </w:t>
      </w:r>
      <w:r w:rsidRPr="00952478">
        <w:rPr>
          <w:rFonts w:cs="Arial"/>
          <w:b/>
          <w:bCs/>
          <w:i/>
          <w:iCs/>
        </w:rPr>
        <w:t>Práva k využívání výsledků a stávajících práv Agenturou</w:t>
      </w:r>
    </w:p>
    <w:p w14:paraId="29C84FEA" w14:textId="77777777" w:rsidR="00952478" w:rsidRPr="00952478" w:rsidRDefault="00952478" w:rsidP="00952478">
      <w:pPr>
        <w:spacing w:line="276" w:lineRule="auto"/>
        <w:ind w:left="648" w:hanging="648"/>
        <w:jc w:val="both"/>
        <w:rPr>
          <w:rFonts w:cs="Arial"/>
          <w:i/>
          <w:iCs/>
        </w:rPr>
      </w:pPr>
      <w:r w:rsidRPr="00952478">
        <w:rPr>
          <w:rFonts w:cs="Arial"/>
          <w:i/>
          <w:iCs/>
        </w:rPr>
        <w:t xml:space="preserve">              Příjemci poskytují Agentuře následující práva k využití výsledků projektu: </w:t>
      </w:r>
    </w:p>
    <w:p w14:paraId="04AE965C"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38CAEC70"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t>rozmnožování: právo povolit přímé nebo nepřímé, dočasné nebo trvalé šíření výsledků jakýmikoliv prostředky (mechanickými, digitálními nebo jinými) a v jakékoli formě, zcela nebo zčásti;</w:t>
      </w:r>
    </w:p>
    <w:p w14:paraId="5BDD542F"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lastRenderedPageBreak/>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4F38490"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t>šíření: právo šířit výsledky nebo kopie výsledků veřejnosti všemi autorizovanými způsoby;</w:t>
      </w:r>
    </w:p>
    <w:p w14:paraId="1D315AF6"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t>úprava: právo změnit výsledky;</w:t>
      </w:r>
    </w:p>
    <w:p w14:paraId="097B5042"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t>překlad;</w:t>
      </w:r>
    </w:p>
    <w:p w14:paraId="5AC2B2FD"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t>právo uchovávat a archivovat výsledky v souladu s pravidly správy dokumentů závaznými pro Agenturu, včetně digitalizace nebo převedení formátu pro účely konverze nebo nového použití;</w:t>
      </w:r>
    </w:p>
    <w:p w14:paraId="7A598AE5" w14:textId="77777777" w:rsidR="00952478" w:rsidRPr="00952478" w:rsidRDefault="00952478" w:rsidP="00952478">
      <w:pPr>
        <w:numPr>
          <w:ilvl w:val="0"/>
          <w:numId w:val="44"/>
        </w:numPr>
        <w:spacing w:before="120" w:after="120" w:line="276" w:lineRule="auto"/>
        <w:ind w:left="1418" w:hanging="709"/>
        <w:contextualSpacing/>
        <w:jc w:val="both"/>
        <w:rPr>
          <w:rFonts w:cs="Arial"/>
          <w:i/>
          <w:iCs/>
        </w:rPr>
      </w:pPr>
      <w:r w:rsidRPr="00952478">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58325E1D" w14:textId="77777777" w:rsidR="00952478" w:rsidRPr="00952478" w:rsidRDefault="00952478" w:rsidP="00952478">
      <w:pPr>
        <w:spacing w:line="276" w:lineRule="auto"/>
        <w:ind w:firstLine="708"/>
        <w:jc w:val="both"/>
        <w:rPr>
          <w:rFonts w:cs="Arial"/>
          <w:i/>
          <w:iCs/>
        </w:rPr>
      </w:pPr>
      <w:r w:rsidRPr="00952478">
        <w:rPr>
          <w:rFonts w:cs="Arial"/>
          <w:i/>
          <w:iCs/>
        </w:rPr>
        <w:t>Další užívací práva svědčící Agentuře mohou být upravena Zvláštními podmínkami.</w:t>
      </w:r>
    </w:p>
    <w:p w14:paraId="1F51602B" w14:textId="77777777" w:rsidR="00952478" w:rsidRPr="00952478" w:rsidRDefault="00952478" w:rsidP="00952478">
      <w:pPr>
        <w:spacing w:line="276" w:lineRule="auto"/>
        <w:ind w:left="708"/>
        <w:jc w:val="both"/>
        <w:rPr>
          <w:rFonts w:cs="Arial"/>
          <w:i/>
          <w:iCs/>
        </w:rPr>
      </w:pPr>
      <w:r w:rsidRPr="00952478">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0FE31F1A" w14:textId="77777777" w:rsidR="00952478" w:rsidRPr="00952478" w:rsidRDefault="00952478" w:rsidP="00952478">
      <w:pPr>
        <w:spacing w:before="120" w:after="120" w:line="280" w:lineRule="atLeast"/>
        <w:ind w:left="709"/>
        <w:jc w:val="both"/>
        <w:rPr>
          <w:rFonts w:cs="Arial"/>
          <w:b/>
          <w:szCs w:val="20"/>
        </w:rPr>
      </w:pPr>
      <w:r w:rsidRPr="00952478">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952478">
        <w:rPr>
          <w:rFonts w:cs="Arial"/>
          <w:i/>
          <w:iCs/>
        </w:rPr>
        <w:t>Agency</w:t>
      </w:r>
      <w:proofErr w:type="spellEnd"/>
      <w:r w:rsidRPr="00952478">
        <w:rPr>
          <w:rFonts w:cs="Arial"/>
          <w:i/>
          <w:iCs/>
        </w:rPr>
        <w:t xml:space="preserve"> v souladu s jejími podmínkami.“</w:t>
      </w:r>
    </w:p>
    <w:p w14:paraId="03FB8513" w14:textId="77777777" w:rsidR="00952478" w:rsidRDefault="00952478" w:rsidP="007F2777">
      <w:pPr>
        <w:spacing w:line="280" w:lineRule="atLeast"/>
        <w:jc w:val="center"/>
        <w:rPr>
          <w:rFonts w:cs="Arial"/>
          <w:b/>
          <w:szCs w:val="20"/>
        </w:rPr>
      </w:pPr>
    </w:p>
    <w:p w14:paraId="71894CC6" w14:textId="1C0C6161" w:rsidR="002E1F3C" w:rsidRDefault="002E1F3C" w:rsidP="002E1F3C">
      <w:pPr>
        <w:spacing w:line="280" w:lineRule="atLeast"/>
        <w:jc w:val="center"/>
        <w:rPr>
          <w:rFonts w:cs="Arial"/>
          <w:b/>
          <w:szCs w:val="20"/>
        </w:rPr>
      </w:pPr>
      <w:r>
        <w:rPr>
          <w:rFonts w:cs="Arial"/>
          <w:b/>
          <w:szCs w:val="20"/>
        </w:rPr>
        <w:t>X</w:t>
      </w:r>
      <w:r w:rsidR="005E14E8">
        <w:rPr>
          <w:rFonts w:cs="Arial"/>
          <w:b/>
          <w:szCs w:val="20"/>
        </w:rPr>
        <w:t>I</w:t>
      </w:r>
      <w:r w:rsidR="00952478">
        <w:rPr>
          <w:rFonts w:cs="Arial"/>
          <w:b/>
          <w:szCs w:val="20"/>
        </w:rPr>
        <w:t>I</w:t>
      </w:r>
      <w:r>
        <w:rPr>
          <w:rFonts w:cs="Arial"/>
          <w:b/>
          <w:szCs w:val="20"/>
        </w:rPr>
        <w:t>.</w:t>
      </w:r>
    </w:p>
    <w:p w14:paraId="3B53382C"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029ECDB9" w14:textId="77777777" w:rsidR="002E1F3C" w:rsidRPr="00DA2C52" w:rsidRDefault="002E1F3C" w:rsidP="002E1F3C">
      <w:pPr>
        <w:spacing w:line="280" w:lineRule="atLeast"/>
        <w:jc w:val="both"/>
        <w:rPr>
          <w:rFonts w:cs="Arial"/>
          <w:b/>
          <w:szCs w:val="20"/>
        </w:rPr>
      </w:pPr>
    </w:p>
    <w:p w14:paraId="2146EE9A" w14:textId="0869F250" w:rsidR="002E1F3C" w:rsidRPr="008D4E20" w:rsidRDefault="002E1F3C" w:rsidP="002E1F3C">
      <w:pPr>
        <w:pStyle w:val="odstavec2"/>
      </w:pPr>
      <w:r w:rsidRPr="008D4E20">
        <w:t xml:space="preserve">VNP společně s dalšími dokumenty, na které tato smlouva ve smyslu § 1751 NOZ 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hyperlink r:id="rId11" w:history="1">
        <w:r w:rsidR="00F76672" w:rsidRPr="00AB12D3">
          <w:rPr>
            <w:rStyle w:val="Hypertextovodkaz"/>
          </w:rPr>
          <w:t>https://www.egd.cz/vseobecne-nakupni-podminky</w:t>
        </w:r>
      </w:hyperlink>
      <w:r w:rsidR="00F76672">
        <w:t>.</w:t>
      </w:r>
      <w:r w:rsidRPr="00550FD2">
        <w:t xml:space="preserve"> Smluvní stra</w:t>
      </w:r>
      <w:r w:rsidRPr="008D4E20">
        <w:t xml:space="preserve">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F1065C">
        <w:t>14 dnů</w:t>
      </w:r>
      <w:r w:rsidRPr="008D4E20">
        <w:t xml:space="preserve"> od doručení nesouhlasného vyjádření prodávajícího se změnou obchodních podmínek. Výpovědní doba činí </w:t>
      </w:r>
      <w:r w:rsidRPr="00F1065C">
        <w:t>6 měsíců</w:t>
      </w:r>
      <w:r w:rsidRPr="008D4E20">
        <w:t xml:space="preserve">. Nevyužije-li kupující ve lhůtě své právo dle předchozí věty smlouvu vypovědět z důvodu </w:t>
      </w:r>
      <w:r w:rsidRPr="008D4E20">
        <w:lastRenderedPageBreak/>
        <w:t>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595D6644" w14:textId="77777777" w:rsidR="002E1F3C" w:rsidRPr="00F873A6" w:rsidRDefault="002E1F3C" w:rsidP="002E1F3C">
      <w:pPr>
        <w:pStyle w:val="odstavec2"/>
      </w:pPr>
      <w:r>
        <w:t xml:space="preserve">Prodávající bere na vědomí, že jakákoli právní jednání na základě této smlouvy může vůči němu činit zástupce kupujícího, zejména společnost E.ON Česká republika, s.r.o. </w:t>
      </w:r>
    </w:p>
    <w:p w14:paraId="6F293071" w14:textId="77777777" w:rsidR="002E1F3C" w:rsidRPr="00F873A6" w:rsidRDefault="002E1F3C" w:rsidP="002E1F3C">
      <w:pPr>
        <w:pStyle w:val="odstavec2"/>
      </w:pPr>
      <w:r w:rsidRPr="00DA2C52">
        <w:t>Pokud není ve smlouvě výslovně uvedeno</w:t>
      </w:r>
      <w:r>
        <w:t xml:space="preserve"> jinak</w:t>
      </w:r>
      <w:r w:rsidRPr="00DA2C52">
        <w:t>, řídí se smluvní strany příslušnými ustanoveními NOZ</w:t>
      </w:r>
      <w:r>
        <w:t>.</w:t>
      </w:r>
    </w:p>
    <w:p w14:paraId="1A3454EA" w14:textId="77777777" w:rsidR="002E1F3C" w:rsidRPr="008D4E20" w:rsidRDefault="002E1F3C" w:rsidP="002E1F3C">
      <w:pPr>
        <w:pStyle w:val="odstavec2"/>
      </w:pPr>
      <w:r w:rsidRPr="00DA2C52">
        <w:t>Jakékoliv změny této smlouv</w:t>
      </w:r>
      <w:r>
        <w:t>y</w:t>
      </w:r>
      <w:r w:rsidRPr="00DA2C52">
        <w:t xml:space="preserve"> je možné provádět pouze písemně formou dodatku k této smlouvě v souladu s NOZ a Z</w:t>
      </w:r>
      <w:r w:rsidR="00456181">
        <w:t>Z</w:t>
      </w:r>
      <w:r w:rsidRPr="00DA2C52">
        <w:t xml:space="preserve">VZ. Změny v kontaktních údajích </w:t>
      </w:r>
      <w:r w:rsidR="00685A95">
        <w:t>(včetně kontaktních údajů uvedených v </w:t>
      </w:r>
      <w:r w:rsidR="00685A95" w:rsidRPr="00685A95">
        <w:rPr>
          <w:u w:val="single"/>
        </w:rPr>
        <w:t xml:space="preserve">příloze </w:t>
      </w:r>
      <w:r w:rsidR="00732B9E">
        <w:rPr>
          <w:u w:val="single"/>
        </w:rPr>
        <w:t>6</w:t>
      </w:r>
      <w:r w:rsidR="00685A95">
        <w:t xml:space="preserve"> této smlouvy)</w:t>
      </w:r>
      <w:r w:rsidR="008C690F">
        <w:t xml:space="preserve"> a internetových adresách </w:t>
      </w:r>
      <w:r w:rsidRPr="00DA2C52">
        <w:t>lze činit i jednostranným oznámením (písemným nebo v elektronické formě) podepsaným oprávněnou osobou (elektronicky ověřeným podpisem) nebo i prostým emailem prostřednictvím emailových adres kontaktních osob.</w:t>
      </w:r>
    </w:p>
    <w:p w14:paraId="64AA6435" w14:textId="77777777" w:rsidR="002E1F3C" w:rsidRPr="00DA2C52" w:rsidRDefault="002E1F3C" w:rsidP="002E1F3C">
      <w:pPr>
        <w:pStyle w:val="odstavec2"/>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p>
    <w:p w14:paraId="77D31EDD" w14:textId="77777777" w:rsidR="002E1F3C" w:rsidRPr="008D4E20" w:rsidRDefault="002E1F3C" w:rsidP="002E1F3C">
      <w:pPr>
        <w:pStyle w:val="odstavec2"/>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79540DC7" w14:textId="02CE71C4" w:rsidR="002E1F3C" w:rsidRPr="00017B95" w:rsidRDefault="002E1F3C" w:rsidP="002E1F3C">
      <w:pPr>
        <w:pStyle w:val="odstavec2"/>
      </w:pPr>
      <w:r w:rsidRPr="00DA2C52">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EA57AB" w:rsidRPr="00EA57AB">
        <w:t>Smluvní strany se ve smyslu ustanovení § 89a zákona č. 99/1963 Sb., občanský soudní řád, ve znění pozdějších předpisů dohodly, že místně příslušným soudem pro řešení sporů bude Okresní soud v Českých Budějovicích.</w:t>
      </w:r>
    </w:p>
    <w:p w14:paraId="28A1711F" w14:textId="7406D14F" w:rsidR="00233AA8" w:rsidRPr="00870229" w:rsidRDefault="00F44823" w:rsidP="00233AA8">
      <w:pPr>
        <w:pStyle w:val="odstavec2"/>
      </w:pPr>
      <w:r w:rsidRPr="00F44823">
        <w:t>Tato smlouva je podepsána smluvními stranami elektronicky. Každá smluvní strana obdrží elektronický originál smlouvy.</w:t>
      </w:r>
    </w:p>
    <w:p w14:paraId="547D8668" w14:textId="77777777" w:rsidR="002E1F3C" w:rsidRPr="008818FF" w:rsidRDefault="00233AA8" w:rsidP="00732B9E">
      <w:pPr>
        <w:pStyle w:val="odstavec2"/>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E9A1CF2" w14:textId="77777777" w:rsidR="00233AA8" w:rsidRDefault="002E1F3C" w:rsidP="00732B9E">
      <w:pPr>
        <w:pStyle w:val="odstavec2"/>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NOZ. </w:t>
      </w:r>
    </w:p>
    <w:p w14:paraId="29554F99" w14:textId="77777777" w:rsidR="00233AA8" w:rsidRPr="00732B9E" w:rsidRDefault="00233AA8" w:rsidP="00732B9E">
      <w:pPr>
        <w:pStyle w:val="odstavec2"/>
      </w:pPr>
      <w:r w:rsidRPr="009D5595">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8DB78C6" w14:textId="77777777" w:rsidR="00233AA8" w:rsidRDefault="00233AA8" w:rsidP="00732B9E">
      <w:pPr>
        <w:pStyle w:val="odstavec2"/>
      </w:pPr>
      <w:r w:rsidRPr="009D5595">
        <w:t>Odlišně od zákona smluvní strany ujednávají, že plnění prodávajícího nemůže být odepřeno, ani když budou splněny podmínky § 1912 odst. 1 občanského zákoníku.</w:t>
      </w:r>
    </w:p>
    <w:p w14:paraId="26B515C1" w14:textId="5E149CF1" w:rsidR="002E1F3C" w:rsidRDefault="002E1F3C" w:rsidP="002E1F3C">
      <w:pPr>
        <w:pStyle w:val="odstavec2"/>
      </w:pPr>
      <w:r>
        <w:t>Prodávající</w:t>
      </w:r>
      <w:r w:rsidRPr="00487203">
        <w:t xml:space="preserve"> prohlašuje, že ke dni podpisu smlouvy není veden v registru plátců DPH jako nespolehlivý plátce. Dále prohlašuje, že jeho bankovní účet uváděný v záhlaví smlouvy je totožný s jeho </w:t>
      </w:r>
      <w:r w:rsidRPr="009177E3">
        <w:rPr>
          <w:rStyle w:val="odstavecChar"/>
          <w:rFonts w:eastAsiaTheme="majorEastAsia"/>
        </w:rPr>
        <w:t>ú</w:t>
      </w:r>
      <w:r w:rsidRPr="00487203">
        <w:t xml:space="preserve">čtem zveřejněným v registru plátců DPH. </w:t>
      </w:r>
      <w:r>
        <w:t>Prodávající</w:t>
      </w:r>
      <w:r w:rsidRPr="00487203">
        <w:t xml:space="preserve">, který je plátcem DPH a poskytovatelem </w:t>
      </w:r>
      <w:r w:rsidRPr="00487203">
        <w:lastRenderedPageBreak/>
        <w:t xml:space="preserve">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t>prodávajícím</w:t>
      </w:r>
      <w:r w:rsidRPr="00487203">
        <w:t xml:space="preserve"> na základě této smlouvy vzniknout ručitelská povinnost ve smyslu § 109 zákona o DPH, vyhrazuje si </w:t>
      </w:r>
      <w:r>
        <w:t>kupující</w:t>
      </w:r>
      <w:r w:rsidRPr="00487203">
        <w:t xml:space="preserve"> právo uhradit daň z těchto zdanitelných plnění místně příslušnému správci daně </w:t>
      </w:r>
      <w:r>
        <w:t>prodávajícího</w:t>
      </w:r>
      <w:r w:rsidRPr="00487203">
        <w:t xml:space="preserve"> postupem podle § 109a téhož zákona. </w:t>
      </w:r>
      <w:r>
        <w:t>Prodávajícímu</w:t>
      </w:r>
      <w:r w:rsidRPr="00487203">
        <w:t xml:space="preserve"> bude o tuto daň snížena úhrada. Aplikací výše uvedeného postupu zaniká závazek ve výši DPH uhrazené za </w:t>
      </w:r>
      <w:r>
        <w:t>prodávajícího</w:t>
      </w:r>
      <w:r w:rsidRPr="00487203">
        <w:t xml:space="preserve">. Uplatnění tohoto postupu úhrady daně se </w:t>
      </w:r>
      <w:r>
        <w:t xml:space="preserve">kupující </w:t>
      </w:r>
      <w:r w:rsidRPr="00487203">
        <w:t xml:space="preserve">zavazuje </w:t>
      </w:r>
      <w:r>
        <w:t>prodávajícímu neprodleně písemně oznámit.</w:t>
      </w:r>
    </w:p>
    <w:p w14:paraId="57D5AF4D" w14:textId="3820DDC1" w:rsidR="00F44823" w:rsidRDefault="00F44823" w:rsidP="002E1F3C">
      <w:pPr>
        <w:pStyle w:val="odstavec2"/>
      </w:pPr>
      <w:r w:rsidRPr="009D5595">
        <w:t xml:space="preserve">Smluvní strany vylučují aplikaci následujících ustanovení občanského zákoníku na tuto smlouvu: § 557, §§ </w:t>
      </w:r>
      <w:proofErr w:type="gramStart"/>
      <w:r w:rsidRPr="009D5595">
        <w:t>1793 – 1795</w:t>
      </w:r>
      <w:proofErr w:type="gramEnd"/>
      <w:r w:rsidRPr="009D5595">
        <w:t>, § 1799 a § 1800.</w:t>
      </w:r>
    </w:p>
    <w:p w14:paraId="0C104E14" w14:textId="77777777" w:rsidR="002E1F3C" w:rsidRPr="008D4E20" w:rsidRDefault="002E1F3C" w:rsidP="002E1F3C">
      <w:pPr>
        <w:pStyle w:val="odstavec2"/>
      </w:pPr>
      <w:r w:rsidRPr="00DA2C52">
        <w:t>Nedílnou součástí této smlouvy jsou:</w:t>
      </w:r>
    </w:p>
    <w:p w14:paraId="68901B3F" w14:textId="77777777" w:rsidR="00017B95" w:rsidRPr="00202A4B" w:rsidRDefault="00017B95" w:rsidP="00017B95">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Pr>
          <w:rFonts w:cs="Arial"/>
          <w:szCs w:val="20"/>
        </w:rPr>
        <w:t>Předmět veřejné zakázky, množství a jednotková cena zboží</w:t>
      </w:r>
    </w:p>
    <w:p w14:paraId="7B7232C0" w14:textId="77777777" w:rsidR="00017B95" w:rsidRDefault="00017B95" w:rsidP="00017B9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 včetně datového nosiče obsahujícího typizační výkresovou dokumentaci;</w:t>
      </w:r>
    </w:p>
    <w:p w14:paraId="6711DB0C" w14:textId="6EB7D683" w:rsidR="00017B95" w:rsidRPr="006914A6" w:rsidRDefault="00017B95" w:rsidP="00017B9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A4D55">
        <w:rPr>
          <w:rFonts w:cs="Arial"/>
          <w:szCs w:val="20"/>
        </w:rPr>
        <w:t>prodávajícím</w:t>
      </w:r>
      <w:r>
        <w:rPr>
          <w:rFonts w:cs="Arial"/>
          <w:szCs w:val="20"/>
        </w:rPr>
        <w:t>;</w:t>
      </w:r>
    </w:p>
    <w:p w14:paraId="330D3965" w14:textId="77777777" w:rsidR="00017B95" w:rsidRPr="00DA2C52" w:rsidRDefault="00017B95" w:rsidP="00017B9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1D5FAFF6" w14:textId="77777777" w:rsidR="00017B95" w:rsidRDefault="00017B95" w:rsidP="00017B95">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w:t>
      </w:r>
      <w:r w:rsidRPr="007D1FF2">
        <w:rPr>
          <w:rFonts w:eastAsia="Calibri" w:cs="Arial"/>
          <w:szCs w:val="20"/>
          <w:lang w:eastAsia="en-US"/>
        </w:rPr>
        <w:t xml:space="preserve"> </w:t>
      </w:r>
      <w:r w:rsidRPr="006853EC">
        <w:rPr>
          <w:rFonts w:eastAsia="Calibri" w:cs="Arial"/>
          <w:szCs w:val="20"/>
          <w:lang w:eastAsia="en-US"/>
        </w:rPr>
        <w:t xml:space="preserve">Podmínky </w:t>
      </w:r>
      <w:r>
        <w:rPr>
          <w:rFonts w:eastAsia="Calibri" w:cs="Arial"/>
          <w:szCs w:val="20"/>
          <w:lang w:eastAsia="en-US"/>
        </w:rPr>
        <w:t xml:space="preserve">dopravy, balení, </w:t>
      </w:r>
      <w:r w:rsidRPr="006853EC">
        <w:rPr>
          <w:rFonts w:eastAsia="Calibri" w:cs="Arial"/>
          <w:szCs w:val="20"/>
          <w:lang w:eastAsia="en-US"/>
        </w:rPr>
        <w:t>zapůjčení, vrácení a úhrady ceny obalů</w:t>
      </w:r>
      <w:r>
        <w:rPr>
          <w:rFonts w:eastAsia="Calibri" w:cs="Arial"/>
          <w:szCs w:val="20"/>
          <w:lang w:eastAsia="en-US"/>
        </w:rPr>
        <w:t>;</w:t>
      </w:r>
    </w:p>
    <w:p w14:paraId="7AEE22CA" w14:textId="49633AC5" w:rsidR="00017B95" w:rsidRDefault="00017B95" w:rsidP="00017B9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Pr="00550FD2">
        <w:rPr>
          <w:rFonts w:eastAsia="Calibri" w:cs="Arial"/>
          <w:szCs w:val="20"/>
          <w:lang w:eastAsia="en-US"/>
        </w:rPr>
        <w:t>Kontaktní osoby</w:t>
      </w:r>
      <w:r>
        <w:rPr>
          <w:rFonts w:eastAsia="Calibri" w:cs="Arial"/>
          <w:szCs w:val="20"/>
          <w:lang w:eastAsia="en-US"/>
        </w:rPr>
        <w:t xml:space="preserve"> prodávajícího;</w:t>
      </w:r>
    </w:p>
    <w:p w14:paraId="7ED264BD" w14:textId="51CF25D0" w:rsidR="002D1ED3" w:rsidRDefault="002D1ED3" w:rsidP="00017B95">
      <w:pPr>
        <w:spacing w:line="280" w:lineRule="atLeast"/>
        <w:ind w:left="360"/>
        <w:jc w:val="both"/>
        <w:rPr>
          <w:rFonts w:eastAsia="Calibri" w:cs="Arial"/>
          <w:szCs w:val="20"/>
          <w:lang w:eastAsia="en-US"/>
        </w:rPr>
      </w:pPr>
      <w:r>
        <w:rPr>
          <w:rFonts w:eastAsia="Calibri" w:cs="Arial"/>
          <w:szCs w:val="20"/>
          <w:lang w:eastAsia="en-US"/>
        </w:rPr>
        <w:t xml:space="preserve">Příloha 7 – </w:t>
      </w:r>
      <w:r w:rsidRPr="002D1ED3">
        <w:rPr>
          <w:rFonts w:eastAsia="Calibri" w:cs="Arial"/>
          <w:szCs w:val="20"/>
          <w:lang w:eastAsia="en-US"/>
        </w:rPr>
        <w:t>Algoritmus výpočtu aktualizované jednotkové ceny</w:t>
      </w:r>
    </w:p>
    <w:p w14:paraId="19935F00" w14:textId="7124E3F7" w:rsidR="002E1F3C" w:rsidRPr="006853EC" w:rsidRDefault="002E1F3C" w:rsidP="002E1F3C">
      <w:pPr>
        <w:spacing w:line="280" w:lineRule="atLeast"/>
        <w:jc w:val="both"/>
        <w:rPr>
          <w:rFonts w:eastAsia="Calibri" w:cs="Arial"/>
          <w:szCs w:val="20"/>
          <w:lang w:eastAsia="en-US"/>
        </w:rPr>
      </w:pPr>
    </w:p>
    <w:p w14:paraId="45B04BFB" w14:textId="77777777" w:rsidR="002E1F3C" w:rsidRDefault="002E1F3C" w:rsidP="002E1F3C">
      <w:pPr>
        <w:autoSpaceDE w:val="0"/>
        <w:autoSpaceDN w:val="0"/>
        <w:adjustRightInd w:val="0"/>
        <w:spacing w:line="280" w:lineRule="atLeast"/>
        <w:rPr>
          <w:rFonts w:cs="Arial"/>
          <w:b/>
          <w:snapToGrid w:val="0"/>
          <w:szCs w:val="20"/>
        </w:rPr>
      </w:pPr>
      <w:r w:rsidRPr="00DA2C52">
        <w:rPr>
          <w:rFonts w:cs="Arial"/>
          <w:b/>
          <w:snapToGrid w:val="0"/>
          <w:szCs w:val="20"/>
        </w:rPr>
        <w:tab/>
      </w:r>
    </w:p>
    <w:p w14:paraId="05AF4B40" w14:textId="77777777" w:rsidR="00822CCA" w:rsidRPr="00DA2C52" w:rsidRDefault="00822CCA" w:rsidP="00822CCA">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Pr>
          <w:rFonts w:cs="Arial"/>
          <w:szCs w:val="20"/>
          <w:highlight w:val="yellow"/>
        </w:rPr>
        <w:t xml:space="preserve">doplní </w:t>
      </w:r>
      <w:r w:rsidRPr="00E0747D">
        <w:rPr>
          <w:rFonts w:cs="Arial"/>
          <w:szCs w:val="20"/>
          <w:highlight w:val="yellow"/>
        </w:rPr>
        <w:t>kupující</w:t>
      </w:r>
      <w:r w:rsidRPr="00DA2C52">
        <w:rPr>
          <w:rFonts w:cs="Arial"/>
          <w:szCs w:val="20"/>
        </w:rPr>
        <w:t xml:space="preserve"> 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30E68C80" w14:textId="77777777" w:rsidR="00822CCA" w:rsidRPr="00DA2C52" w:rsidRDefault="00822CCA" w:rsidP="00822CCA">
      <w:pPr>
        <w:spacing w:line="280" w:lineRule="atLeast"/>
        <w:jc w:val="both"/>
        <w:rPr>
          <w:rFonts w:cs="Arial"/>
          <w:szCs w:val="20"/>
        </w:rPr>
      </w:pPr>
    </w:p>
    <w:p w14:paraId="17A8D176" w14:textId="77777777" w:rsidR="00822CCA" w:rsidRPr="00DA2C52" w:rsidRDefault="00822CCA" w:rsidP="00822CCA">
      <w:pPr>
        <w:spacing w:line="280" w:lineRule="atLeast"/>
        <w:jc w:val="both"/>
        <w:rPr>
          <w:rFonts w:cs="Arial"/>
          <w:szCs w:val="20"/>
        </w:rPr>
      </w:pPr>
    </w:p>
    <w:p w14:paraId="42784FDE" w14:textId="6C3199E9" w:rsidR="00822CCA" w:rsidRPr="00DA2C52" w:rsidRDefault="00822CCA" w:rsidP="00822CCA">
      <w:pPr>
        <w:spacing w:line="280" w:lineRule="atLeast"/>
        <w:jc w:val="both"/>
        <w:rPr>
          <w:rFonts w:cs="Arial"/>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sidR="008A4D55">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w:t>
      </w:r>
      <w:proofErr w:type="gramEnd"/>
      <w:r w:rsidRPr="00CA3B6C">
        <w:rPr>
          <w:rFonts w:cs="Arial"/>
          <w:b/>
          <w:szCs w:val="22"/>
        </w:rPr>
        <w:t>, a.s.</w:t>
      </w:r>
    </w:p>
    <w:p w14:paraId="1C9CD3BD" w14:textId="77777777" w:rsidR="00822CCA" w:rsidRPr="00DA2C52" w:rsidRDefault="00822CCA" w:rsidP="00822CCA">
      <w:pPr>
        <w:spacing w:line="280" w:lineRule="atLeast"/>
        <w:jc w:val="both"/>
        <w:rPr>
          <w:rFonts w:cs="Arial"/>
          <w:szCs w:val="20"/>
        </w:rPr>
      </w:pPr>
    </w:p>
    <w:p w14:paraId="4773B634" w14:textId="77777777" w:rsidR="00822CCA" w:rsidRPr="00DA2C52" w:rsidRDefault="00822CCA" w:rsidP="00822CCA">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5A880538" w14:textId="77777777" w:rsidR="00704D6E" w:rsidRDefault="00822CCA" w:rsidP="00822CCA">
      <w:pPr>
        <w:spacing w:line="280" w:lineRule="atLeast"/>
        <w:rPr>
          <w:rFonts w:cs="Arial"/>
          <w:b/>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704D6E" w:rsidRPr="00704D6E">
        <w:rPr>
          <w:rFonts w:cs="Arial"/>
          <w:b/>
          <w:szCs w:val="20"/>
        </w:rPr>
        <w:t>Ing. Zde</w:t>
      </w:r>
      <w:r w:rsidR="00704D6E">
        <w:rPr>
          <w:rFonts w:cs="Arial"/>
          <w:b/>
          <w:szCs w:val="20"/>
        </w:rPr>
        <w:t>něk Bauer</w:t>
      </w:r>
    </w:p>
    <w:p w14:paraId="3D21B9BD" w14:textId="48A17121" w:rsidR="00822CCA" w:rsidRPr="00704D6E" w:rsidRDefault="00822CCA" w:rsidP="00822CCA">
      <w:pPr>
        <w:spacing w:line="280" w:lineRule="atLeast"/>
        <w:rPr>
          <w:rFonts w:cs="Arial"/>
          <w:b/>
          <w:bCs/>
          <w:szCs w:val="20"/>
        </w:rPr>
      </w:pP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00704D6E" w:rsidRPr="00704D6E">
        <w:rPr>
          <w:rFonts w:cs="Arial"/>
          <w:b/>
          <w:bCs/>
          <w:szCs w:val="20"/>
        </w:rPr>
        <w:t>Předseda představenstva</w:t>
      </w:r>
    </w:p>
    <w:p w14:paraId="51DF6120" w14:textId="33899942" w:rsidR="00822CCA" w:rsidRDefault="00822CCA" w:rsidP="00822CCA">
      <w:pPr>
        <w:spacing w:line="280" w:lineRule="atLeast"/>
        <w:rPr>
          <w:rFonts w:cs="Arial"/>
          <w:b/>
          <w:bCs/>
          <w:szCs w:val="20"/>
        </w:rPr>
      </w:pPr>
    </w:p>
    <w:p w14:paraId="40C93C30" w14:textId="77777777" w:rsidR="00704D6E" w:rsidRPr="00704D6E" w:rsidRDefault="00704D6E" w:rsidP="00822CCA">
      <w:pPr>
        <w:spacing w:line="280" w:lineRule="atLeast"/>
        <w:rPr>
          <w:rFonts w:cs="Arial"/>
          <w:b/>
          <w:bCs/>
          <w:szCs w:val="20"/>
        </w:rPr>
      </w:pPr>
    </w:p>
    <w:p w14:paraId="019DDDD3" w14:textId="77777777" w:rsidR="00822CCA" w:rsidRDefault="00822CCA" w:rsidP="00822CCA">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72593CD5" w14:textId="330C243A" w:rsidR="00C72DDF" w:rsidRDefault="00822CCA" w:rsidP="00822CCA">
      <w:pPr>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704D6E" w:rsidRPr="00704D6E">
        <w:rPr>
          <w:rFonts w:cs="Arial"/>
          <w:b/>
          <w:szCs w:val="20"/>
        </w:rPr>
        <w:t>Ing. Pav</w:t>
      </w:r>
      <w:r w:rsidR="00704D6E">
        <w:rPr>
          <w:rFonts w:cs="Arial"/>
          <w:b/>
          <w:szCs w:val="20"/>
        </w:rPr>
        <w:t>el</w:t>
      </w:r>
      <w:r w:rsidR="00704D6E" w:rsidRPr="00704D6E">
        <w:rPr>
          <w:rFonts w:cs="Arial"/>
          <w:b/>
          <w:szCs w:val="20"/>
        </w:rPr>
        <w:t xml:space="preserve"> Čad</w:t>
      </w:r>
      <w:r w:rsidR="00704D6E">
        <w:rPr>
          <w:rFonts w:cs="Arial"/>
          <w:b/>
          <w:szCs w:val="20"/>
        </w:rPr>
        <w:t>a</w:t>
      </w:r>
      <w:r w:rsidR="00704D6E" w:rsidRPr="00704D6E">
        <w:rPr>
          <w:rFonts w:cs="Arial"/>
          <w:b/>
          <w:szCs w:val="20"/>
        </w:rPr>
        <w:t>, Ph.D.</w:t>
      </w:r>
    </w:p>
    <w:p w14:paraId="73D6A1D4" w14:textId="25A54D10" w:rsidR="00704D6E" w:rsidRDefault="00704D6E" w:rsidP="00822CCA">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Místopředseda představenstva</w:t>
      </w:r>
    </w:p>
    <w:sectPr w:rsidR="00704D6E" w:rsidSect="00E3502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61FE2" w14:textId="77777777" w:rsidR="004C4073" w:rsidRDefault="004C4073">
      <w:r>
        <w:separator/>
      </w:r>
    </w:p>
  </w:endnote>
  <w:endnote w:type="continuationSeparator" w:id="0">
    <w:p w14:paraId="4E135863" w14:textId="77777777" w:rsidR="004C4073" w:rsidRDefault="004C4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4DC01" w14:textId="77777777" w:rsidR="00650FEE"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658EA41" w14:textId="77777777" w:rsidR="00650FEE" w:rsidRPr="005619CD" w:rsidRDefault="000617D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7F9B68" w14:textId="77777777" w:rsidR="004C4073" w:rsidRDefault="004C4073">
      <w:r>
        <w:separator/>
      </w:r>
    </w:p>
  </w:footnote>
  <w:footnote w:type="continuationSeparator" w:id="0">
    <w:p w14:paraId="72670AD7" w14:textId="77777777" w:rsidR="004C4073" w:rsidRDefault="004C4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B41A4" w14:textId="77777777" w:rsidR="00650FEE"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12321DC0" w14:textId="47DCC6C0" w:rsidR="00650FEE" w:rsidRPr="002A4F5A" w:rsidRDefault="003042B6" w:rsidP="00060B31">
    <w:pPr>
      <w:pStyle w:val="Zhlav"/>
      <w:jc w:val="right"/>
      <w:rPr>
        <w:b/>
        <w:sz w:val="18"/>
        <w:szCs w:val="20"/>
      </w:rPr>
    </w:pPr>
    <w:r>
      <w:rPr>
        <w:b/>
        <w:sz w:val="18"/>
        <w:szCs w:val="20"/>
      </w:rPr>
      <w:t xml:space="preserve">Číslo smlouvy prodávajícího: </w:t>
    </w:r>
    <w:r w:rsidRPr="00245E2E">
      <w:rPr>
        <w:b/>
        <w:sz w:val="18"/>
        <w:szCs w:val="20"/>
        <w:highlight w:val="green"/>
      </w:rPr>
      <w:t xml:space="preserve">doplní </w:t>
    </w:r>
    <w:r w:rsidR="00245E2E" w:rsidRPr="00245E2E">
      <w:rPr>
        <w:b/>
        <w:sz w:val="18"/>
        <w:szCs w:val="20"/>
        <w:highlight w:val="green"/>
      </w:rPr>
      <w:t>účastník</w:t>
    </w:r>
  </w:p>
  <w:p w14:paraId="27AC1B2E" w14:textId="77777777" w:rsidR="00650FEE" w:rsidRPr="002A4F5A" w:rsidRDefault="000617D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3A1"/>
    <w:multiLevelType w:val="multilevel"/>
    <w:tmpl w:val="E3F81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FD4C3D"/>
    <w:multiLevelType w:val="hybridMultilevel"/>
    <w:tmpl w:val="18F822E4"/>
    <w:lvl w:ilvl="0" w:tplc="B49448AA">
      <w:start w:val="3"/>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3"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8F91486"/>
    <w:multiLevelType w:val="hybridMultilevel"/>
    <w:tmpl w:val="22162D7E"/>
    <w:lvl w:ilvl="0" w:tplc="C724413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B648A3"/>
    <w:multiLevelType w:val="hybridMultilevel"/>
    <w:tmpl w:val="9F062E8A"/>
    <w:lvl w:ilvl="0" w:tplc="04050017">
      <w:start w:val="1"/>
      <w:numFmt w:val="lowerLetter"/>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1"/>
  </w:num>
  <w:num w:numId="3">
    <w:abstractNumId w:val="23"/>
  </w:num>
  <w:num w:numId="4">
    <w:abstractNumId w:val="17"/>
  </w:num>
  <w:num w:numId="5">
    <w:abstractNumId w:val="24"/>
  </w:num>
  <w:num w:numId="6">
    <w:abstractNumId w:val="15"/>
  </w:num>
  <w:num w:numId="7">
    <w:abstractNumId w:val="6"/>
  </w:num>
  <w:num w:numId="8">
    <w:abstractNumId w:val="4"/>
  </w:num>
  <w:num w:numId="9">
    <w:abstractNumId w:val="8"/>
  </w:num>
  <w:num w:numId="10">
    <w:abstractNumId w:val="20"/>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20"/>
    <w:lvlOverride w:ilvl="0">
      <w:startOverride w:val="1"/>
    </w:lvlOverride>
  </w:num>
  <w:num w:numId="16">
    <w:abstractNumId w:val="20"/>
    <w:lvlOverride w:ilvl="0">
      <w:startOverride w:val="1"/>
    </w:lvlOverride>
  </w:num>
  <w:num w:numId="17">
    <w:abstractNumId w:val="19"/>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6"/>
  </w:num>
  <w:num w:numId="33">
    <w:abstractNumId w:val="12"/>
  </w:num>
  <w:num w:numId="34">
    <w:abstractNumId w:val="18"/>
  </w:num>
  <w:num w:numId="35">
    <w:abstractNumId w:val="21"/>
  </w:num>
  <w:num w:numId="36">
    <w:abstractNumId w:val="9"/>
  </w:num>
  <w:num w:numId="37">
    <w:abstractNumId w:val="7"/>
  </w:num>
  <w:num w:numId="38">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2"/>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7B95"/>
    <w:rsid w:val="00042F41"/>
    <w:rsid w:val="000617D9"/>
    <w:rsid w:val="00087D68"/>
    <w:rsid w:val="000B2063"/>
    <w:rsid w:val="000D5F46"/>
    <w:rsid w:val="000F6CD2"/>
    <w:rsid w:val="000F72FB"/>
    <w:rsid w:val="001A7E4B"/>
    <w:rsid w:val="001B0243"/>
    <w:rsid w:val="001B21B6"/>
    <w:rsid w:val="001B6D01"/>
    <w:rsid w:val="001F4382"/>
    <w:rsid w:val="00211845"/>
    <w:rsid w:val="00224213"/>
    <w:rsid w:val="00233AA8"/>
    <w:rsid w:val="00236230"/>
    <w:rsid w:val="00245E2E"/>
    <w:rsid w:val="00264E05"/>
    <w:rsid w:val="002663EC"/>
    <w:rsid w:val="002677D9"/>
    <w:rsid w:val="002A6673"/>
    <w:rsid w:val="002B7F47"/>
    <w:rsid w:val="002D1ED3"/>
    <w:rsid w:val="002E1F3C"/>
    <w:rsid w:val="002E7434"/>
    <w:rsid w:val="003042B6"/>
    <w:rsid w:val="003112DC"/>
    <w:rsid w:val="00313700"/>
    <w:rsid w:val="00321D50"/>
    <w:rsid w:val="00331699"/>
    <w:rsid w:val="00356581"/>
    <w:rsid w:val="0038195B"/>
    <w:rsid w:val="003852C4"/>
    <w:rsid w:val="003E1938"/>
    <w:rsid w:val="00456181"/>
    <w:rsid w:val="00456AFC"/>
    <w:rsid w:val="004854FC"/>
    <w:rsid w:val="004B2741"/>
    <w:rsid w:val="004B4266"/>
    <w:rsid w:val="004C4073"/>
    <w:rsid w:val="004D1323"/>
    <w:rsid w:val="004E18F2"/>
    <w:rsid w:val="004E1A67"/>
    <w:rsid w:val="004E39B3"/>
    <w:rsid w:val="005229A4"/>
    <w:rsid w:val="0054779C"/>
    <w:rsid w:val="00550FD2"/>
    <w:rsid w:val="0056135D"/>
    <w:rsid w:val="00590B20"/>
    <w:rsid w:val="005E14E8"/>
    <w:rsid w:val="00602F82"/>
    <w:rsid w:val="0062191B"/>
    <w:rsid w:val="0063037B"/>
    <w:rsid w:val="00685A95"/>
    <w:rsid w:val="00691316"/>
    <w:rsid w:val="00704D6E"/>
    <w:rsid w:val="00705659"/>
    <w:rsid w:val="00706061"/>
    <w:rsid w:val="00706FC2"/>
    <w:rsid w:val="00727C51"/>
    <w:rsid w:val="00732B9E"/>
    <w:rsid w:val="007441C7"/>
    <w:rsid w:val="00785A06"/>
    <w:rsid w:val="007908A7"/>
    <w:rsid w:val="007A227D"/>
    <w:rsid w:val="007B3FE4"/>
    <w:rsid w:val="007D12F3"/>
    <w:rsid w:val="007F2777"/>
    <w:rsid w:val="00822CCA"/>
    <w:rsid w:val="00832DC1"/>
    <w:rsid w:val="008733D0"/>
    <w:rsid w:val="00893169"/>
    <w:rsid w:val="00895AFF"/>
    <w:rsid w:val="008A4D55"/>
    <w:rsid w:val="008C4A6B"/>
    <w:rsid w:val="008C690F"/>
    <w:rsid w:val="008C7613"/>
    <w:rsid w:val="008F17CC"/>
    <w:rsid w:val="00903C41"/>
    <w:rsid w:val="00917F5B"/>
    <w:rsid w:val="00946457"/>
    <w:rsid w:val="00952478"/>
    <w:rsid w:val="00966315"/>
    <w:rsid w:val="00995E43"/>
    <w:rsid w:val="009B761C"/>
    <w:rsid w:val="009E6BF5"/>
    <w:rsid w:val="00A40B53"/>
    <w:rsid w:val="00A430F0"/>
    <w:rsid w:val="00A616FD"/>
    <w:rsid w:val="00A66C7C"/>
    <w:rsid w:val="00A672D4"/>
    <w:rsid w:val="00AE6F52"/>
    <w:rsid w:val="00AF503D"/>
    <w:rsid w:val="00B644CA"/>
    <w:rsid w:val="00BA0C48"/>
    <w:rsid w:val="00BA5C7A"/>
    <w:rsid w:val="00BF590D"/>
    <w:rsid w:val="00C04528"/>
    <w:rsid w:val="00C22721"/>
    <w:rsid w:val="00C447CD"/>
    <w:rsid w:val="00C63363"/>
    <w:rsid w:val="00C65B5F"/>
    <w:rsid w:val="00C72DDF"/>
    <w:rsid w:val="00CA3C78"/>
    <w:rsid w:val="00CC545C"/>
    <w:rsid w:val="00CD0327"/>
    <w:rsid w:val="00CD700E"/>
    <w:rsid w:val="00D2288C"/>
    <w:rsid w:val="00D3190C"/>
    <w:rsid w:val="00D41C20"/>
    <w:rsid w:val="00D62D3C"/>
    <w:rsid w:val="00DA163E"/>
    <w:rsid w:val="00DB19C2"/>
    <w:rsid w:val="00DC2F89"/>
    <w:rsid w:val="00DC5C13"/>
    <w:rsid w:val="00DC62DC"/>
    <w:rsid w:val="00DF2C5F"/>
    <w:rsid w:val="00E0545E"/>
    <w:rsid w:val="00E7755A"/>
    <w:rsid w:val="00E776F0"/>
    <w:rsid w:val="00EA3BA8"/>
    <w:rsid w:val="00EA4D1D"/>
    <w:rsid w:val="00EA57AB"/>
    <w:rsid w:val="00EC3626"/>
    <w:rsid w:val="00F1400B"/>
    <w:rsid w:val="00F2720D"/>
    <w:rsid w:val="00F30551"/>
    <w:rsid w:val="00F35632"/>
    <w:rsid w:val="00F44823"/>
    <w:rsid w:val="00F62348"/>
    <w:rsid w:val="00F65B50"/>
    <w:rsid w:val="00F67C46"/>
    <w:rsid w:val="00F73863"/>
    <w:rsid w:val="00F76672"/>
    <w:rsid w:val="00FB3897"/>
    <w:rsid w:val="00FD20C8"/>
    <w:rsid w:val="00FE4ECC"/>
    <w:rsid w:val="00FF20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0318F"/>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semiHidden/>
    <w:rsid w:val="002E1F3C"/>
    <w:rPr>
      <w:rFonts w:cs="Times New Roman"/>
      <w:sz w:val="16"/>
      <w:szCs w:val="16"/>
    </w:rPr>
  </w:style>
  <w:style w:type="paragraph" w:styleId="Textkomente">
    <w:name w:val="annotation text"/>
    <w:basedOn w:val="Normln"/>
    <w:link w:val="TextkomenteChar"/>
    <w:uiPriority w:val="99"/>
    <w:semiHidden/>
    <w:rsid w:val="002E1F3C"/>
    <w:rPr>
      <w:szCs w:val="20"/>
    </w:rPr>
  </w:style>
  <w:style w:type="character" w:customStyle="1" w:styleId="TextkomenteChar">
    <w:name w:val="Text komentáře Char"/>
    <w:basedOn w:val="Standardnpsmoodstavce"/>
    <w:link w:val="Textkomente"/>
    <w:uiPriority w:val="99"/>
    <w:semiHidden/>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5"/>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5"/>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7"/>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D319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08EC1-4900-408F-BD75-79C7E9429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19</Pages>
  <Words>8976</Words>
  <Characters>52960</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Földeši, Igor</cp:lastModifiedBy>
  <cp:revision>56</cp:revision>
  <dcterms:created xsi:type="dcterms:W3CDTF">2021-02-17T09:57:00Z</dcterms:created>
  <dcterms:modified xsi:type="dcterms:W3CDTF">2021-05-13T18:39:00Z</dcterms:modified>
</cp:coreProperties>
</file>