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9CD" w:rsidRPr="00AF29CD" w:rsidRDefault="00AF29CD" w:rsidP="00AF29CD">
      <w:pPr>
        <w:spacing w:before="600" w:after="120"/>
        <w:jc w:val="both"/>
        <w:rPr>
          <w:rFonts w:ascii="Arial" w:hAnsi="Arial" w:cs="Arial"/>
          <w:sz w:val="20"/>
          <w:szCs w:val="20"/>
        </w:rPr>
      </w:pPr>
      <w:r w:rsidRPr="00AF29CD">
        <w:rPr>
          <w:rFonts w:ascii="Arial" w:hAnsi="Arial" w:cs="Arial"/>
          <w:sz w:val="20"/>
          <w:szCs w:val="20"/>
        </w:rPr>
        <w:t>Účastník doplní a v nabídce předloží Modelový případ</w:t>
      </w:r>
      <w:r w:rsidR="0041702D">
        <w:rPr>
          <w:rFonts w:ascii="Arial" w:hAnsi="Arial" w:cs="Arial"/>
          <w:sz w:val="20"/>
          <w:szCs w:val="20"/>
        </w:rPr>
        <w:t xml:space="preserve"> pro zpracování nabídkové ceny</w:t>
      </w:r>
      <w:r w:rsidRPr="00AF29CD">
        <w:rPr>
          <w:rFonts w:ascii="Arial" w:hAnsi="Arial" w:cs="Arial"/>
          <w:b/>
          <w:sz w:val="20"/>
          <w:szCs w:val="20"/>
        </w:rPr>
        <w:t xml:space="preserve"> samostatně pro každou část veřejné zakázky</w:t>
      </w:r>
      <w:r w:rsidRPr="00AF29CD">
        <w:rPr>
          <w:rFonts w:ascii="Arial" w:hAnsi="Arial" w:cs="Arial"/>
          <w:sz w:val="20"/>
          <w:szCs w:val="20"/>
        </w:rPr>
        <w:t>, na kterou</w:t>
      </w:r>
      <w:r w:rsidR="0041702D">
        <w:rPr>
          <w:rFonts w:ascii="Arial" w:hAnsi="Arial" w:cs="Arial"/>
          <w:sz w:val="20"/>
          <w:szCs w:val="20"/>
        </w:rPr>
        <w:t xml:space="preserve"> svou</w:t>
      </w:r>
      <w:r w:rsidRPr="00AF29CD">
        <w:rPr>
          <w:rFonts w:ascii="Arial" w:hAnsi="Arial" w:cs="Arial"/>
          <w:sz w:val="20"/>
          <w:szCs w:val="20"/>
        </w:rPr>
        <w:t xml:space="preserve"> nabídku podává.</w:t>
      </w:r>
    </w:p>
    <w:p w:rsidR="00AF29CD" w:rsidRDefault="00AF29CD" w:rsidP="00AF29CD">
      <w:pPr>
        <w:pStyle w:val="Stylodstavecslovan"/>
        <w:tabs>
          <w:tab w:val="clear" w:pos="142"/>
        </w:tabs>
        <w:spacing w:line="276" w:lineRule="auto"/>
        <w:ind w:left="0" w:firstLine="0"/>
        <w:rPr>
          <w:rFonts w:ascii="Arial" w:hAnsi="Arial" w:cs="Arial"/>
          <w:sz w:val="20"/>
          <w:szCs w:val="20"/>
        </w:rPr>
      </w:pPr>
      <w:r w:rsidRPr="00247AB7">
        <w:rPr>
          <w:rFonts w:ascii="Arial" w:hAnsi="Arial" w:cs="Arial"/>
          <w:sz w:val="20"/>
          <w:szCs w:val="20"/>
        </w:rPr>
        <w:t xml:space="preserve">Nabídkovou cenou </w:t>
      </w:r>
      <w:r w:rsidR="00F11120">
        <w:rPr>
          <w:rFonts w:ascii="Arial" w:hAnsi="Arial" w:cs="Arial"/>
          <w:sz w:val="20"/>
          <w:szCs w:val="20"/>
        </w:rPr>
        <w:t xml:space="preserve">pro konkrétní část veřejné zakázky </w:t>
      </w:r>
      <w:bookmarkStart w:id="0" w:name="_GoBack"/>
      <w:bookmarkEnd w:id="0"/>
      <w:r w:rsidRPr="00247AB7">
        <w:rPr>
          <w:rFonts w:ascii="Arial" w:hAnsi="Arial" w:cs="Arial"/>
          <w:sz w:val="20"/>
          <w:szCs w:val="20"/>
        </w:rPr>
        <w:t xml:space="preserve">se pro účely </w:t>
      </w:r>
      <w:r>
        <w:rPr>
          <w:rFonts w:ascii="Arial" w:hAnsi="Arial" w:cs="Arial"/>
          <w:sz w:val="20"/>
          <w:szCs w:val="20"/>
        </w:rPr>
        <w:t>hodnocení nabídek</w:t>
      </w:r>
      <w:r w:rsidRPr="00247AB7">
        <w:rPr>
          <w:rFonts w:ascii="Arial" w:hAnsi="Arial" w:cs="Arial"/>
          <w:sz w:val="20"/>
          <w:szCs w:val="20"/>
        </w:rPr>
        <w:t xml:space="preserve"> rozumí </w:t>
      </w:r>
      <w:r>
        <w:rPr>
          <w:rFonts w:ascii="Arial" w:hAnsi="Arial" w:cs="Arial"/>
          <w:sz w:val="20"/>
          <w:szCs w:val="20"/>
        </w:rPr>
        <w:t xml:space="preserve">nabídková cena doplněná dodavatelem do kolonky </w:t>
      </w:r>
      <w:r w:rsidRPr="00126B55">
        <w:rPr>
          <w:rFonts w:ascii="Arial" w:hAnsi="Arial" w:cs="Arial"/>
          <w:b/>
          <w:bCs/>
          <w:sz w:val="20"/>
          <w:szCs w:val="20"/>
        </w:rPr>
        <w:t>Celková nabídková cena (</w:t>
      </w:r>
      <w:r>
        <w:rPr>
          <w:rFonts w:ascii="Arial" w:hAnsi="Arial" w:cs="Arial"/>
          <w:b/>
          <w:bCs/>
          <w:sz w:val="20"/>
          <w:szCs w:val="20"/>
        </w:rPr>
        <w:t>Kč</w:t>
      </w:r>
      <w:r w:rsidRPr="00126B55">
        <w:rPr>
          <w:rFonts w:ascii="Arial" w:hAnsi="Arial" w:cs="Arial"/>
          <w:b/>
          <w:bCs/>
          <w:sz w:val="20"/>
          <w:szCs w:val="20"/>
        </w:rPr>
        <w:t xml:space="preserve"> bez DPH</w:t>
      </w:r>
      <w:r>
        <w:rPr>
          <w:rFonts w:ascii="Arial" w:hAnsi="Arial" w:cs="Arial"/>
          <w:sz w:val="20"/>
          <w:szCs w:val="20"/>
        </w:rPr>
        <w:t>) pro danou část veřejné zakázky.</w:t>
      </w:r>
    </w:p>
    <w:p w:rsidR="00AF29CD" w:rsidRPr="00247AB7" w:rsidRDefault="00AF29CD" w:rsidP="00AF29CD">
      <w:pPr>
        <w:pStyle w:val="Stylodstavecslovan"/>
        <w:tabs>
          <w:tab w:val="clear" w:pos="142"/>
        </w:tabs>
        <w:spacing w:line="276" w:lineRule="auto"/>
        <w:ind w:left="0" w:firstLine="0"/>
        <w:rPr>
          <w:rFonts w:ascii="Arial" w:hAnsi="Arial" w:cs="Arial"/>
          <w:sz w:val="20"/>
          <w:szCs w:val="20"/>
        </w:rPr>
      </w:pPr>
      <w:bookmarkStart w:id="1" w:name="_Hlk531590256"/>
      <w:r>
        <w:rPr>
          <w:rFonts w:ascii="Arial" w:hAnsi="Arial" w:cs="Arial"/>
          <w:sz w:val="20"/>
          <w:szCs w:val="20"/>
        </w:rPr>
        <w:t>Účastník do Modelového případu pro každou část veřejné zakázky, na kterou bude podávat svou nabídku, doplní nabídkovou cenu za výměnu jednoho elektroměru. Celková nabídková cena pro účely hodnocení pak vznikne vynásobením nabídkové ceny za výměnu jednoho elektroměru a celkového předpokládaného množství výměn elektroměrů za 60 měsíců v dané části veřejné zakázky.</w:t>
      </w:r>
    </w:p>
    <w:bookmarkEnd w:id="1"/>
    <w:p w:rsidR="00AF29CD" w:rsidRDefault="00AF29CD" w:rsidP="00AF29CD">
      <w:pPr>
        <w:pStyle w:val="Stylodstavecslovan"/>
        <w:tabs>
          <w:tab w:val="clear" w:pos="142"/>
        </w:tabs>
        <w:spacing w:line="276" w:lineRule="auto"/>
        <w:ind w:left="0" w:firstLine="0"/>
        <w:rPr>
          <w:rFonts w:ascii="Arial" w:hAnsi="Arial" w:cs="Arial"/>
          <w:sz w:val="20"/>
          <w:szCs w:val="20"/>
        </w:rPr>
      </w:pPr>
      <w:r>
        <w:rPr>
          <w:rFonts w:ascii="Arial" w:hAnsi="Arial" w:cs="Arial"/>
          <w:sz w:val="20"/>
          <w:szCs w:val="20"/>
        </w:rPr>
        <w:t>Jednotková nabídková cena za provedení výměn</w:t>
      </w:r>
      <w:r w:rsidR="0041702D">
        <w:rPr>
          <w:rFonts w:ascii="Arial" w:hAnsi="Arial" w:cs="Arial"/>
          <w:sz w:val="20"/>
          <w:szCs w:val="20"/>
        </w:rPr>
        <w:t>y</w:t>
      </w:r>
      <w:r>
        <w:rPr>
          <w:rFonts w:ascii="Arial" w:hAnsi="Arial" w:cs="Arial"/>
          <w:sz w:val="20"/>
          <w:szCs w:val="20"/>
        </w:rPr>
        <w:t xml:space="preserve"> </w:t>
      </w:r>
      <w:r w:rsidR="0041702D">
        <w:rPr>
          <w:rFonts w:ascii="Arial" w:hAnsi="Arial" w:cs="Arial"/>
          <w:sz w:val="20"/>
          <w:szCs w:val="20"/>
        </w:rPr>
        <w:t>elektroměru</w:t>
      </w:r>
      <w:r>
        <w:rPr>
          <w:rFonts w:ascii="Arial" w:hAnsi="Arial" w:cs="Arial"/>
          <w:sz w:val="20"/>
          <w:szCs w:val="20"/>
        </w:rPr>
        <w:t xml:space="preserve"> musí obsahovat veškeré nezbytné náklady k řádné realizaci služby, včetně všech nákladů vedlejších a souvisejících (náklady např. na nezbytné pořízení doplňků a drobného materiálu, náklady na dopravu, na komunikaci, předpokládaná rizika spojená s prováděním služeb, zvýšené náklady vyplývající z obchodních podmínek apod.).</w:t>
      </w:r>
    </w:p>
    <w:p w:rsidR="00AF29CD" w:rsidRDefault="00AF29CD">
      <w:pPr>
        <w:rPr>
          <w:rFonts w:ascii="Arial" w:hAnsi="Arial" w:cs="Arial"/>
          <w:b/>
          <w:sz w:val="20"/>
          <w:szCs w:val="20"/>
        </w:rPr>
      </w:pPr>
      <w:r>
        <w:rPr>
          <w:rFonts w:ascii="Arial" w:hAnsi="Arial" w:cs="Arial"/>
          <w:b/>
          <w:sz w:val="20"/>
          <w:szCs w:val="20"/>
        </w:rPr>
        <w:br w:type="page"/>
      </w:r>
    </w:p>
    <w:p w:rsidR="00AF29CD" w:rsidRDefault="00AF29CD" w:rsidP="00BA52E8">
      <w:pPr>
        <w:spacing w:before="600" w:after="360"/>
        <w:jc w:val="center"/>
        <w:rPr>
          <w:rFonts w:ascii="Arial" w:hAnsi="Arial" w:cs="Arial"/>
          <w:b/>
          <w:sz w:val="20"/>
          <w:szCs w:val="20"/>
        </w:rPr>
      </w:pPr>
    </w:p>
    <w:p w:rsidR="00973A68" w:rsidRDefault="00895C59" w:rsidP="00BA52E8">
      <w:pPr>
        <w:spacing w:before="600" w:after="360"/>
        <w:jc w:val="center"/>
        <w:rPr>
          <w:rFonts w:ascii="Arial" w:hAnsi="Arial" w:cs="Arial"/>
          <w:b/>
          <w:sz w:val="20"/>
          <w:szCs w:val="20"/>
        </w:rPr>
      </w:pPr>
      <w:r>
        <w:rPr>
          <w:rFonts w:ascii="Arial" w:hAnsi="Arial" w:cs="Arial"/>
          <w:b/>
          <w:sz w:val="20"/>
          <w:szCs w:val="20"/>
        </w:rPr>
        <w:t>ČÁST 1 VZ – REGION BRNO</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973A68" w:rsidRPr="00853D20" w:rsidTr="001E569F">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A68" w:rsidRPr="00973A68" w:rsidRDefault="00973A68" w:rsidP="001E569F">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973A68" w:rsidRPr="00973A68" w:rsidRDefault="00973A68" w:rsidP="001E569F">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973A68" w:rsidRPr="00973A68" w:rsidRDefault="00BA52E8" w:rsidP="001E569F">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973A68" w:rsidRPr="00973A68" w:rsidRDefault="00973A68" w:rsidP="001E569F">
            <w:pPr>
              <w:jc w:val="center"/>
              <w:rPr>
                <w:rFonts w:ascii="Arial" w:hAnsi="Arial" w:cs="Arial"/>
                <w:b/>
                <w:bCs/>
                <w:color w:val="000000"/>
                <w:sz w:val="20"/>
                <w:szCs w:val="20"/>
              </w:rPr>
            </w:pPr>
            <w:r w:rsidRPr="00973A68">
              <w:rPr>
                <w:rFonts w:ascii="Arial" w:hAnsi="Arial" w:cs="Arial"/>
                <w:b/>
                <w:bCs/>
                <w:color w:val="000000"/>
                <w:sz w:val="20"/>
                <w:szCs w:val="20"/>
              </w:rPr>
              <w:t>Jednotková</w:t>
            </w:r>
            <w:r w:rsidR="00BA52E8">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sidR="00BA52E8">
              <w:rPr>
                <w:rFonts w:ascii="Arial" w:hAnsi="Arial" w:cs="Arial"/>
                <w:b/>
                <w:bCs/>
                <w:color w:val="000000"/>
                <w:sz w:val="20"/>
                <w:szCs w:val="20"/>
              </w:rPr>
              <w:t>(Kč</w:t>
            </w:r>
            <w:r w:rsidRPr="00973A68">
              <w:rPr>
                <w:rFonts w:ascii="Arial" w:hAnsi="Arial" w:cs="Arial"/>
                <w:b/>
                <w:bCs/>
                <w:color w:val="000000"/>
                <w:sz w:val="20"/>
                <w:szCs w:val="20"/>
              </w:rPr>
              <w:t xml:space="preserve"> bez DPH</w:t>
            </w:r>
            <w:r w:rsidR="00BA52E8">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973A68" w:rsidRPr="00973A68" w:rsidRDefault="00973A68" w:rsidP="001E569F">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sidR="00BA52E8">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sidR="00BA52E8">
              <w:rPr>
                <w:rFonts w:ascii="Arial" w:hAnsi="Arial" w:cs="Arial"/>
                <w:b/>
                <w:bCs/>
                <w:color w:val="000000"/>
                <w:sz w:val="20"/>
                <w:szCs w:val="20"/>
              </w:rPr>
              <w:t>(Kč</w:t>
            </w:r>
            <w:r w:rsidRPr="00973A68">
              <w:rPr>
                <w:rFonts w:ascii="Arial" w:hAnsi="Arial" w:cs="Arial"/>
                <w:b/>
                <w:bCs/>
                <w:color w:val="000000"/>
                <w:sz w:val="20"/>
                <w:szCs w:val="20"/>
              </w:rPr>
              <w:t xml:space="preserve"> bez DPH</w:t>
            </w:r>
            <w:r w:rsidR="00BA52E8">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973A68" w:rsidRPr="00987341" w:rsidTr="001E569F">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73A68" w:rsidRPr="00973A68" w:rsidRDefault="00973A68" w:rsidP="001E569F">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973A68" w:rsidRPr="00973A68" w:rsidRDefault="00BA52E8" w:rsidP="001E569F">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973A68" w:rsidRPr="00973A68" w:rsidRDefault="00BA52E8" w:rsidP="001E569F">
            <w:pPr>
              <w:jc w:val="center"/>
              <w:rPr>
                <w:rFonts w:ascii="Arial" w:hAnsi="Arial" w:cs="Arial"/>
                <w:color w:val="000000"/>
                <w:sz w:val="20"/>
                <w:szCs w:val="20"/>
              </w:rPr>
            </w:pPr>
            <w:r>
              <w:rPr>
                <w:rFonts w:ascii="Arial" w:hAnsi="Arial" w:cs="Arial"/>
                <w:color w:val="000000"/>
                <w:sz w:val="20"/>
                <w:szCs w:val="20"/>
              </w:rPr>
              <w:t>89 340</w:t>
            </w:r>
          </w:p>
        </w:tc>
        <w:tc>
          <w:tcPr>
            <w:tcW w:w="1740" w:type="dxa"/>
            <w:tcBorders>
              <w:top w:val="nil"/>
              <w:left w:val="nil"/>
              <w:bottom w:val="single" w:sz="4" w:space="0" w:color="auto"/>
              <w:right w:val="single" w:sz="4" w:space="0" w:color="auto"/>
            </w:tcBorders>
            <w:shd w:val="clear" w:color="auto" w:fill="FFFF00"/>
            <w:noWrap/>
            <w:vAlign w:val="center"/>
          </w:tcPr>
          <w:p w:rsidR="00973A68" w:rsidRPr="00973A68" w:rsidRDefault="00973A68" w:rsidP="001E569F">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973A68" w:rsidRPr="00973A68" w:rsidRDefault="00973A68" w:rsidP="001E569F">
            <w:pPr>
              <w:jc w:val="center"/>
              <w:rPr>
                <w:rFonts w:ascii="Arial" w:hAnsi="Arial" w:cs="Arial"/>
                <w:b/>
                <w:sz w:val="20"/>
                <w:szCs w:val="20"/>
              </w:rPr>
            </w:pPr>
            <w:r w:rsidRPr="00973A68">
              <w:rPr>
                <w:rFonts w:ascii="Arial" w:hAnsi="Arial" w:cs="Arial"/>
                <w:bCs/>
                <w:sz w:val="20"/>
                <w:szCs w:val="20"/>
              </w:rPr>
              <w:t>doplní účastník</w:t>
            </w:r>
          </w:p>
        </w:tc>
      </w:tr>
    </w:tbl>
    <w:p w:rsidR="00973A68" w:rsidRDefault="00973A68" w:rsidP="00721864">
      <w:pPr>
        <w:ind w:left="1416" w:hanging="1983"/>
        <w:rPr>
          <w:rFonts w:ascii="Arial" w:hAnsi="Arial" w:cs="Arial"/>
          <w:b/>
          <w:sz w:val="20"/>
          <w:szCs w:val="20"/>
        </w:rPr>
      </w:pPr>
    </w:p>
    <w:p w:rsidR="00721864" w:rsidRPr="00247AB7" w:rsidRDefault="00BA52E8" w:rsidP="00721864">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w:t>
      </w:r>
      <w:r w:rsidR="00721864">
        <w:rPr>
          <w:rFonts w:ascii="Arial" w:hAnsi="Arial" w:cs="Arial"/>
          <w:sz w:val="20"/>
          <w:szCs w:val="20"/>
        </w:rPr>
        <w:t xml:space="preserve"> </w:t>
      </w:r>
      <w:r>
        <w:rPr>
          <w:rFonts w:ascii="Arial" w:hAnsi="Arial" w:cs="Arial"/>
          <w:sz w:val="20"/>
          <w:szCs w:val="20"/>
        </w:rPr>
        <w:t>položky. Dále účastník doplní Celkovou nabídkovou cenu</w:t>
      </w:r>
      <w:r w:rsidR="00721864">
        <w:rPr>
          <w:rFonts w:ascii="Arial" w:hAnsi="Arial" w:cs="Arial"/>
          <w:sz w:val="20"/>
          <w:szCs w:val="20"/>
        </w:rPr>
        <w:t xml:space="preserve"> rovnající se součinu uvedeného </w:t>
      </w:r>
      <w:r>
        <w:rPr>
          <w:rFonts w:ascii="Arial" w:hAnsi="Arial" w:cs="Arial"/>
          <w:sz w:val="20"/>
          <w:szCs w:val="20"/>
        </w:rPr>
        <w:t>Plánovaného počtu výměn elektroměrů</w:t>
      </w:r>
      <w:r w:rsidR="00721864">
        <w:rPr>
          <w:rFonts w:ascii="Arial" w:hAnsi="Arial" w:cs="Arial"/>
          <w:sz w:val="20"/>
          <w:szCs w:val="20"/>
        </w:rPr>
        <w:t xml:space="preserve"> a </w:t>
      </w:r>
      <w:r>
        <w:rPr>
          <w:rFonts w:ascii="Arial" w:hAnsi="Arial" w:cs="Arial"/>
          <w:sz w:val="20"/>
          <w:szCs w:val="20"/>
        </w:rPr>
        <w:t>Jednotkové ceny.</w:t>
      </w:r>
    </w:p>
    <w:p w:rsidR="00721864" w:rsidRDefault="00721864" w:rsidP="00721864">
      <w:pPr>
        <w:ind w:left="993" w:hanging="1983"/>
        <w:rPr>
          <w:rFonts w:ascii="Arial" w:hAnsi="Arial" w:cs="Arial"/>
          <w:b/>
          <w:sz w:val="20"/>
          <w:szCs w:val="20"/>
        </w:rPr>
      </w:pPr>
    </w:p>
    <w:p w:rsidR="00895C59" w:rsidRDefault="00895C59" w:rsidP="00973A68">
      <w:pPr>
        <w:ind w:left="1416" w:firstLine="708"/>
        <w:rPr>
          <w:rFonts w:ascii="Arial" w:hAnsi="Arial" w:cs="Arial"/>
          <w:b/>
          <w:sz w:val="20"/>
          <w:szCs w:val="20"/>
        </w:rPr>
      </w:pPr>
    </w:p>
    <w:p w:rsidR="00BA52E8" w:rsidRDefault="00895C59" w:rsidP="00BA52E8">
      <w:pPr>
        <w:spacing w:before="600" w:after="360"/>
        <w:jc w:val="center"/>
        <w:rPr>
          <w:rFonts w:ascii="Arial" w:hAnsi="Arial" w:cs="Arial"/>
          <w:b/>
          <w:sz w:val="20"/>
          <w:szCs w:val="20"/>
        </w:rPr>
      </w:pPr>
      <w:r>
        <w:rPr>
          <w:rFonts w:ascii="Arial" w:hAnsi="Arial" w:cs="Arial"/>
          <w:b/>
          <w:sz w:val="20"/>
          <w:szCs w:val="20"/>
        </w:rPr>
        <w:br w:type="page"/>
      </w:r>
    </w:p>
    <w:p w:rsidR="00BA52E8" w:rsidRDefault="00BA52E8" w:rsidP="00BA52E8">
      <w:pPr>
        <w:spacing w:before="600" w:after="360"/>
        <w:jc w:val="center"/>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2 VZ – REGION HODONÍN</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56 085</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jc w:val="center"/>
        <w:rPr>
          <w:rFonts w:ascii="Arial" w:hAnsi="Arial" w:cs="Arial"/>
          <w:b/>
          <w:sz w:val="20"/>
          <w:szCs w:val="20"/>
        </w:rPr>
      </w:pPr>
    </w:p>
    <w:p w:rsidR="00895C59" w:rsidRDefault="00895C59" w:rsidP="00973A68">
      <w:pPr>
        <w:ind w:left="1416" w:firstLine="708"/>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ind w:left="1416" w:firstLine="708"/>
        <w:rPr>
          <w:rFonts w:ascii="Arial" w:hAnsi="Arial" w:cs="Arial"/>
          <w:b/>
          <w:sz w:val="20"/>
          <w:szCs w:val="20"/>
        </w:rPr>
      </w:pPr>
    </w:p>
    <w:p w:rsidR="00BA52E8" w:rsidRDefault="00895C59" w:rsidP="00BA52E8">
      <w:pPr>
        <w:spacing w:before="600" w:after="360"/>
        <w:jc w:val="center"/>
        <w:rPr>
          <w:rFonts w:ascii="Arial" w:hAnsi="Arial" w:cs="Arial"/>
          <w:b/>
          <w:sz w:val="20"/>
          <w:szCs w:val="20"/>
        </w:rPr>
      </w:pPr>
      <w:r>
        <w:rPr>
          <w:rFonts w:ascii="Arial" w:hAnsi="Arial" w:cs="Arial"/>
          <w:b/>
          <w:sz w:val="20"/>
          <w:szCs w:val="20"/>
        </w:rPr>
        <w:t>ČÁST 3 VZ – REGION NOVÉ MĚSTO NA MORAVĚ</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28 845</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pPr>
        <w:rPr>
          <w:rFonts w:ascii="Arial" w:hAnsi="Arial" w:cs="Arial"/>
          <w:b/>
          <w:sz w:val="20"/>
          <w:szCs w:val="20"/>
        </w:rPr>
      </w:pPr>
      <w:r>
        <w:rPr>
          <w:rFonts w:ascii="Arial" w:hAnsi="Arial" w:cs="Arial"/>
          <w:b/>
          <w:sz w:val="20"/>
          <w:szCs w:val="20"/>
        </w:rPr>
        <w:br w:type="page"/>
      </w:r>
    </w:p>
    <w:p w:rsidR="00895C59" w:rsidRDefault="00895C59">
      <w:pPr>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4 VZ – REGION OTROKOVICE</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75 169</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973A68">
      <w:pPr>
        <w:ind w:left="1416" w:firstLine="708"/>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ind w:left="1416" w:firstLine="708"/>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5 VZ – REGION PROSTĚJOV</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57 385</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ind w:left="1416" w:firstLine="708"/>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6 VZ – REGION JIHLAVA</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43 801</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ind w:left="1416" w:firstLine="708"/>
        <w:rPr>
          <w:rFonts w:ascii="Arial" w:hAnsi="Arial" w:cs="Arial"/>
          <w:b/>
          <w:sz w:val="20"/>
          <w:szCs w:val="20"/>
        </w:rPr>
      </w:pPr>
    </w:p>
    <w:p w:rsidR="00895C59" w:rsidRDefault="00895C59" w:rsidP="00BA52E8">
      <w:pPr>
        <w:spacing w:after="360"/>
        <w:rPr>
          <w:rFonts w:ascii="Arial" w:hAnsi="Arial" w:cs="Arial"/>
          <w:b/>
          <w:sz w:val="20"/>
          <w:szCs w:val="20"/>
        </w:rPr>
      </w:pPr>
      <w:r>
        <w:rPr>
          <w:rFonts w:ascii="Arial" w:hAnsi="Arial" w:cs="Arial"/>
          <w:b/>
          <w:sz w:val="20"/>
          <w:szCs w:val="20"/>
        </w:rPr>
        <w:br w:type="page"/>
      </w:r>
    </w:p>
    <w:p w:rsidR="00BA52E8" w:rsidRDefault="00BA52E8" w:rsidP="00BA52E8">
      <w:pPr>
        <w:spacing w:before="600" w:after="360"/>
        <w:ind w:left="1416" w:firstLine="708"/>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7 VZ – REGION ZNOJMO</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29 630</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ind w:left="1416" w:firstLine="708"/>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jc w:val="center"/>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8 VZ – REGION ČESKÉ BUDĚJOVICE</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67 988</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jc w:val="center"/>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jc w:val="center"/>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9 VZ – REGION JINDŘICHŮV HRADEC</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51 576</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jc w:val="center"/>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10 VZ – REGION PÍSEK</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56 684</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jc w:val="center"/>
        <w:rPr>
          <w:rFonts w:ascii="Arial" w:hAnsi="Arial" w:cs="Arial"/>
          <w:b/>
          <w:sz w:val="20"/>
          <w:szCs w:val="20"/>
        </w:rPr>
      </w:pPr>
    </w:p>
    <w:p w:rsidR="00895C59" w:rsidRDefault="00895C59">
      <w:pPr>
        <w:rPr>
          <w:rFonts w:ascii="Arial" w:hAnsi="Arial" w:cs="Arial"/>
          <w:b/>
          <w:sz w:val="20"/>
          <w:szCs w:val="20"/>
        </w:rPr>
      </w:pPr>
      <w:r>
        <w:rPr>
          <w:rFonts w:ascii="Arial" w:hAnsi="Arial" w:cs="Arial"/>
          <w:b/>
          <w:sz w:val="20"/>
          <w:szCs w:val="20"/>
        </w:rPr>
        <w:br w:type="page"/>
      </w:r>
    </w:p>
    <w:p w:rsidR="00BA52E8" w:rsidRDefault="00BA52E8" w:rsidP="00BA52E8">
      <w:pPr>
        <w:spacing w:before="600" w:after="360"/>
        <w:jc w:val="center"/>
        <w:rPr>
          <w:rFonts w:ascii="Arial" w:hAnsi="Arial" w:cs="Arial"/>
          <w:b/>
          <w:sz w:val="20"/>
          <w:szCs w:val="20"/>
        </w:rPr>
      </w:pPr>
    </w:p>
    <w:p w:rsidR="00895C59" w:rsidRDefault="00895C59" w:rsidP="00BA52E8">
      <w:pPr>
        <w:spacing w:before="600" w:after="360"/>
        <w:jc w:val="center"/>
        <w:rPr>
          <w:rFonts w:ascii="Arial" w:hAnsi="Arial" w:cs="Arial"/>
          <w:b/>
          <w:sz w:val="20"/>
          <w:szCs w:val="20"/>
        </w:rPr>
      </w:pPr>
      <w:r>
        <w:rPr>
          <w:rFonts w:ascii="Arial" w:hAnsi="Arial" w:cs="Arial"/>
          <w:b/>
          <w:sz w:val="20"/>
          <w:szCs w:val="20"/>
        </w:rPr>
        <w:t>ČÁST 11 VZ – REGION TÁBOR</w:t>
      </w:r>
    </w:p>
    <w:tbl>
      <w:tblPr>
        <w:tblW w:w="10550" w:type="dxa"/>
        <w:jc w:val="center"/>
        <w:tblCellMar>
          <w:left w:w="70" w:type="dxa"/>
          <w:right w:w="70" w:type="dxa"/>
        </w:tblCellMar>
        <w:tblLook w:val="04A0" w:firstRow="1" w:lastRow="0" w:firstColumn="1" w:lastColumn="0" w:noHBand="0" w:noVBand="1"/>
      </w:tblPr>
      <w:tblGrid>
        <w:gridCol w:w="960"/>
        <w:gridCol w:w="4900"/>
        <w:gridCol w:w="1330"/>
        <w:gridCol w:w="1740"/>
        <w:gridCol w:w="1620"/>
      </w:tblGrid>
      <w:tr w:rsidR="00BA52E8" w:rsidRPr="00853D20" w:rsidTr="007E3968">
        <w:trPr>
          <w:trHeight w:val="8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Položka</w:t>
            </w:r>
          </w:p>
        </w:tc>
        <w:tc>
          <w:tcPr>
            <w:tcW w:w="4900" w:type="dxa"/>
            <w:tcBorders>
              <w:top w:val="single" w:sz="4" w:space="0" w:color="auto"/>
              <w:left w:val="nil"/>
              <w:bottom w:val="single" w:sz="4" w:space="0" w:color="auto"/>
              <w:right w:val="single" w:sz="4" w:space="0" w:color="auto"/>
            </w:tcBorders>
            <w:shd w:val="clear" w:color="auto" w:fill="auto"/>
            <w:noWrap/>
            <w:vAlign w:val="center"/>
            <w:hideMark/>
          </w:tcPr>
          <w:p w:rsidR="00BA52E8" w:rsidRPr="00973A68" w:rsidRDefault="00BA52E8" w:rsidP="007E3968">
            <w:pPr>
              <w:rPr>
                <w:rFonts w:ascii="Arial" w:hAnsi="Arial" w:cs="Arial"/>
                <w:b/>
                <w:bCs/>
                <w:color w:val="000000"/>
                <w:sz w:val="20"/>
                <w:szCs w:val="20"/>
              </w:rPr>
            </w:pPr>
            <w:r w:rsidRPr="00973A68">
              <w:rPr>
                <w:rFonts w:ascii="Arial" w:hAnsi="Arial" w:cs="Arial"/>
                <w:b/>
                <w:bCs/>
                <w:color w:val="000000"/>
                <w:sz w:val="20"/>
                <w:szCs w:val="20"/>
              </w:rPr>
              <w:t>Název položky</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Pr>
                <w:rFonts w:ascii="Arial" w:hAnsi="Arial" w:cs="Arial"/>
                <w:b/>
                <w:bCs/>
                <w:color w:val="000000"/>
                <w:sz w:val="20"/>
                <w:szCs w:val="20"/>
              </w:rPr>
              <w:t>Plánovaný počet výměn elektroměrů (za 60 měsíců)</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Jednotková</w:t>
            </w:r>
            <w:r>
              <w:rPr>
                <w:rFonts w:ascii="Arial" w:hAnsi="Arial" w:cs="Arial"/>
                <w:b/>
                <w:bCs/>
                <w:color w:val="000000"/>
                <w:sz w:val="20"/>
                <w:szCs w:val="20"/>
              </w:rPr>
              <w:t xml:space="preserve">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A52E8" w:rsidRPr="00973A68" w:rsidRDefault="00BA52E8" w:rsidP="007E3968">
            <w:pPr>
              <w:jc w:val="center"/>
              <w:rPr>
                <w:rFonts w:ascii="Arial" w:hAnsi="Arial" w:cs="Arial"/>
                <w:b/>
                <w:bCs/>
                <w:color w:val="000000"/>
                <w:sz w:val="20"/>
                <w:szCs w:val="20"/>
              </w:rPr>
            </w:pPr>
            <w:r w:rsidRPr="00973A68">
              <w:rPr>
                <w:rFonts w:ascii="Arial" w:hAnsi="Arial" w:cs="Arial"/>
                <w:b/>
                <w:bCs/>
                <w:color w:val="000000"/>
                <w:sz w:val="20"/>
                <w:szCs w:val="20"/>
              </w:rPr>
              <w:t xml:space="preserve">Celková </w:t>
            </w:r>
            <w:r>
              <w:rPr>
                <w:rFonts w:ascii="Arial" w:hAnsi="Arial" w:cs="Arial"/>
                <w:b/>
                <w:bCs/>
                <w:color w:val="000000"/>
                <w:sz w:val="20"/>
                <w:szCs w:val="20"/>
              </w:rPr>
              <w:t xml:space="preserve">nabídková </w:t>
            </w:r>
            <w:r w:rsidRPr="00973A68">
              <w:rPr>
                <w:rFonts w:ascii="Arial" w:hAnsi="Arial" w:cs="Arial"/>
                <w:b/>
                <w:bCs/>
                <w:color w:val="000000"/>
                <w:sz w:val="20"/>
                <w:szCs w:val="20"/>
              </w:rPr>
              <w:t xml:space="preserve">cena </w:t>
            </w:r>
            <w:r>
              <w:rPr>
                <w:rFonts w:ascii="Arial" w:hAnsi="Arial" w:cs="Arial"/>
                <w:b/>
                <w:bCs/>
                <w:color w:val="000000"/>
                <w:sz w:val="20"/>
                <w:szCs w:val="20"/>
              </w:rPr>
              <w:t>(Kč</w:t>
            </w:r>
            <w:r w:rsidRPr="00973A68">
              <w:rPr>
                <w:rFonts w:ascii="Arial" w:hAnsi="Arial" w:cs="Arial"/>
                <w:b/>
                <w:bCs/>
                <w:color w:val="000000"/>
                <w:sz w:val="20"/>
                <w:szCs w:val="20"/>
              </w:rPr>
              <w:t xml:space="preserve"> bez DPH</w:t>
            </w:r>
            <w:r>
              <w:rPr>
                <w:rFonts w:ascii="Arial" w:hAnsi="Arial" w:cs="Arial"/>
                <w:b/>
                <w:bCs/>
                <w:color w:val="000000"/>
                <w:sz w:val="20"/>
                <w:szCs w:val="20"/>
              </w:rPr>
              <w:t>)</w:t>
            </w:r>
            <w:r w:rsidRPr="00973A68">
              <w:rPr>
                <w:rFonts w:ascii="Arial" w:hAnsi="Arial" w:cs="Arial"/>
                <w:b/>
                <w:bCs/>
                <w:color w:val="000000"/>
                <w:sz w:val="20"/>
                <w:szCs w:val="20"/>
              </w:rPr>
              <w:t xml:space="preserve"> </w:t>
            </w:r>
          </w:p>
        </w:tc>
      </w:tr>
      <w:tr w:rsidR="00BA52E8" w:rsidRPr="00987341" w:rsidTr="007E3968">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A52E8" w:rsidRPr="00973A68" w:rsidRDefault="00BA52E8" w:rsidP="007E3968">
            <w:pPr>
              <w:jc w:val="center"/>
              <w:rPr>
                <w:rFonts w:ascii="Arial" w:hAnsi="Arial" w:cs="Arial"/>
                <w:color w:val="000000"/>
                <w:sz w:val="20"/>
                <w:szCs w:val="20"/>
              </w:rPr>
            </w:pPr>
            <w:r w:rsidRPr="00973A68">
              <w:rPr>
                <w:rFonts w:ascii="Arial" w:hAnsi="Arial" w:cs="Arial"/>
                <w:color w:val="000000"/>
                <w:sz w:val="20"/>
                <w:szCs w:val="20"/>
              </w:rPr>
              <w:t>1.</w:t>
            </w:r>
          </w:p>
        </w:tc>
        <w:tc>
          <w:tcPr>
            <w:tcW w:w="4900" w:type="dxa"/>
            <w:tcBorders>
              <w:top w:val="nil"/>
              <w:left w:val="nil"/>
              <w:bottom w:val="single" w:sz="4" w:space="0" w:color="auto"/>
              <w:right w:val="single" w:sz="4" w:space="0" w:color="auto"/>
            </w:tcBorders>
            <w:shd w:val="clear" w:color="auto" w:fill="auto"/>
            <w:noWrap/>
            <w:vAlign w:val="bottom"/>
            <w:hideMark/>
          </w:tcPr>
          <w:p w:rsidR="00BA52E8" w:rsidRPr="00973A68" w:rsidRDefault="00BA52E8" w:rsidP="007E3968">
            <w:pPr>
              <w:rPr>
                <w:rFonts w:ascii="Arial" w:hAnsi="Arial" w:cs="Arial"/>
                <w:color w:val="000000"/>
                <w:sz w:val="20"/>
                <w:szCs w:val="20"/>
              </w:rPr>
            </w:pPr>
            <w:r>
              <w:rPr>
                <w:rFonts w:ascii="Arial" w:hAnsi="Arial" w:cs="Arial"/>
                <w:color w:val="000000"/>
                <w:sz w:val="20"/>
                <w:szCs w:val="20"/>
              </w:rPr>
              <w:t>Výměna 1 kusu elektroměru</w:t>
            </w:r>
          </w:p>
        </w:tc>
        <w:tc>
          <w:tcPr>
            <w:tcW w:w="1330" w:type="dxa"/>
            <w:tcBorders>
              <w:top w:val="nil"/>
              <w:left w:val="nil"/>
              <w:bottom w:val="single" w:sz="4" w:space="0" w:color="auto"/>
              <w:right w:val="single" w:sz="4" w:space="0" w:color="auto"/>
            </w:tcBorders>
            <w:shd w:val="clear" w:color="auto" w:fill="auto"/>
            <w:noWrap/>
            <w:vAlign w:val="bottom"/>
            <w:hideMark/>
          </w:tcPr>
          <w:p w:rsidR="00BA52E8" w:rsidRPr="00973A68" w:rsidRDefault="00AF29CD" w:rsidP="007E3968">
            <w:pPr>
              <w:jc w:val="center"/>
              <w:rPr>
                <w:rFonts w:ascii="Arial" w:hAnsi="Arial" w:cs="Arial"/>
                <w:color w:val="000000"/>
                <w:sz w:val="20"/>
                <w:szCs w:val="20"/>
              </w:rPr>
            </w:pPr>
            <w:r>
              <w:rPr>
                <w:rFonts w:ascii="Arial" w:hAnsi="Arial" w:cs="Arial"/>
                <w:color w:val="000000"/>
                <w:sz w:val="20"/>
                <w:szCs w:val="20"/>
              </w:rPr>
              <w:t>28 986</w:t>
            </w:r>
          </w:p>
        </w:tc>
        <w:tc>
          <w:tcPr>
            <w:tcW w:w="174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Cs/>
                <w:sz w:val="20"/>
                <w:szCs w:val="20"/>
              </w:rPr>
            </w:pPr>
            <w:r w:rsidRPr="00973A68">
              <w:rPr>
                <w:rFonts w:ascii="Arial" w:hAnsi="Arial" w:cs="Arial"/>
                <w:bCs/>
                <w:sz w:val="20"/>
                <w:szCs w:val="20"/>
              </w:rPr>
              <w:t>doplní účastník</w:t>
            </w:r>
          </w:p>
        </w:tc>
        <w:tc>
          <w:tcPr>
            <w:tcW w:w="1620" w:type="dxa"/>
            <w:tcBorders>
              <w:top w:val="nil"/>
              <w:left w:val="nil"/>
              <w:bottom w:val="single" w:sz="4" w:space="0" w:color="auto"/>
              <w:right w:val="single" w:sz="4" w:space="0" w:color="auto"/>
            </w:tcBorders>
            <w:shd w:val="clear" w:color="auto" w:fill="FFFF00"/>
            <w:noWrap/>
            <w:vAlign w:val="center"/>
          </w:tcPr>
          <w:p w:rsidR="00BA52E8" w:rsidRPr="00973A68" w:rsidRDefault="00BA52E8" w:rsidP="007E3968">
            <w:pPr>
              <w:jc w:val="center"/>
              <w:rPr>
                <w:rFonts w:ascii="Arial" w:hAnsi="Arial" w:cs="Arial"/>
                <w:b/>
                <w:sz w:val="20"/>
                <w:szCs w:val="20"/>
              </w:rPr>
            </w:pPr>
            <w:r w:rsidRPr="00973A68">
              <w:rPr>
                <w:rFonts w:ascii="Arial" w:hAnsi="Arial" w:cs="Arial"/>
                <w:bCs/>
                <w:sz w:val="20"/>
                <w:szCs w:val="20"/>
              </w:rPr>
              <w:t>doplní účastník</w:t>
            </w:r>
          </w:p>
        </w:tc>
      </w:tr>
    </w:tbl>
    <w:p w:rsidR="00BA52E8" w:rsidRDefault="00BA52E8" w:rsidP="00BA52E8">
      <w:pPr>
        <w:ind w:left="1416" w:hanging="1983"/>
        <w:rPr>
          <w:rFonts w:ascii="Arial" w:hAnsi="Arial" w:cs="Arial"/>
          <w:b/>
          <w:sz w:val="20"/>
          <w:szCs w:val="20"/>
        </w:rPr>
      </w:pPr>
    </w:p>
    <w:p w:rsidR="00BA52E8" w:rsidRPr="00247AB7" w:rsidRDefault="00BA52E8" w:rsidP="00BA52E8">
      <w:pPr>
        <w:pStyle w:val="Stylodstavecslovan"/>
        <w:tabs>
          <w:tab w:val="clear" w:pos="142"/>
        </w:tabs>
        <w:spacing w:line="276" w:lineRule="auto"/>
        <w:ind w:left="-709" w:firstLine="0"/>
        <w:rPr>
          <w:rFonts w:ascii="Arial" w:hAnsi="Arial" w:cs="Arial"/>
          <w:sz w:val="20"/>
          <w:szCs w:val="20"/>
        </w:rPr>
      </w:pPr>
      <w:r>
        <w:rPr>
          <w:rFonts w:ascii="Arial" w:hAnsi="Arial" w:cs="Arial"/>
          <w:sz w:val="20"/>
          <w:szCs w:val="20"/>
        </w:rPr>
        <w:t>Účastník doplní nabízenou Jednotkovou cenu položky. Dále účastník doplní Celkovou nabídkovou cenu rovnající se součinu uvedeného Plánovaného počtu výměn elektroměrů a Jednotkové ceny.</w:t>
      </w:r>
    </w:p>
    <w:p w:rsidR="00BA52E8" w:rsidRDefault="00BA52E8" w:rsidP="00BA52E8">
      <w:pPr>
        <w:spacing w:before="600" w:after="360"/>
        <w:jc w:val="center"/>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895C59" w:rsidRDefault="00895C59" w:rsidP="00895C59">
      <w:pPr>
        <w:ind w:left="1416" w:firstLine="708"/>
        <w:rPr>
          <w:rFonts w:ascii="Arial" w:hAnsi="Arial" w:cs="Arial"/>
          <w:b/>
          <w:sz w:val="20"/>
          <w:szCs w:val="20"/>
        </w:rPr>
      </w:pPr>
    </w:p>
    <w:p w:rsidR="00721864" w:rsidRPr="00973A68" w:rsidRDefault="00721864" w:rsidP="00973A68">
      <w:pPr>
        <w:ind w:left="1416" w:firstLine="708"/>
        <w:rPr>
          <w:rFonts w:ascii="Arial" w:hAnsi="Arial" w:cs="Arial"/>
          <w:b/>
          <w:sz w:val="20"/>
          <w:szCs w:val="20"/>
        </w:rPr>
      </w:pPr>
    </w:p>
    <w:sectPr w:rsidR="00721864" w:rsidRPr="00973A6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A68" w:rsidRDefault="00973A68" w:rsidP="00973A68">
      <w:pPr>
        <w:spacing w:after="0" w:line="240" w:lineRule="auto"/>
      </w:pPr>
      <w:r>
        <w:separator/>
      </w:r>
    </w:p>
  </w:endnote>
  <w:endnote w:type="continuationSeparator" w:id="0">
    <w:p w:rsidR="00973A68" w:rsidRDefault="00973A68" w:rsidP="00973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A68" w:rsidRDefault="00973A68" w:rsidP="00973A68">
      <w:pPr>
        <w:spacing w:after="0" w:line="240" w:lineRule="auto"/>
      </w:pPr>
      <w:r>
        <w:separator/>
      </w:r>
    </w:p>
  </w:footnote>
  <w:footnote w:type="continuationSeparator" w:id="0">
    <w:p w:rsidR="00973A68" w:rsidRDefault="00973A68" w:rsidP="00973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A68" w:rsidRDefault="00973A68" w:rsidP="00BA52E8">
    <w:pPr>
      <w:jc w:val="center"/>
      <w:rPr>
        <w:rFonts w:ascii="Arial" w:hAnsi="Arial" w:cs="Arial"/>
        <w:b/>
        <w:sz w:val="20"/>
        <w:szCs w:val="20"/>
      </w:rPr>
    </w:pPr>
    <w:r w:rsidRPr="00973A68">
      <w:rPr>
        <w:rFonts w:ascii="Arial" w:hAnsi="Arial" w:cs="Arial"/>
        <w:b/>
        <w:sz w:val="20"/>
        <w:szCs w:val="20"/>
      </w:rPr>
      <w:t>Modelový případ pro zpracování nabídkové ceny</w:t>
    </w:r>
  </w:p>
  <w:p w:rsidR="00973A68" w:rsidRDefault="00973A6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A68"/>
    <w:rsid w:val="00251D00"/>
    <w:rsid w:val="0041702D"/>
    <w:rsid w:val="00721864"/>
    <w:rsid w:val="00895C59"/>
    <w:rsid w:val="00973A68"/>
    <w:rsid w:val="00AF29CD"/>
    <w:rsid w:val="00B910CF"/>
    <w:rsid w:val="00BA52E8"/>
    <w:rsid w:val="00D1178B"/>
    <w:rsid w:val="00E258A4"/>
    <w:rsid w:val="00F111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AE594"/>
  <w15:chartTrackingRefBased/>
  <w15:docId w15:val="{73ABF2B2-61AD-49B6-AB2F-A184C3FD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7218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73A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73A68"/>
  </w:style>
  <w:style w:type="paragraph" w:styleId="Zpat">
    <w:name w:val="footer"/>
    <w:basedOn w:val="Normln"/>
    <w:link w:val="ZpatChar"/>
    <w:uiPriority w:val="99"/>
    <w:unhideWhenUsed/>
    <w:rsid w:val="00973A68"/>
    <w:pPr>
      <w:tabs>
        <w:tab w:val="center" w:pos="4536"/>
        <w:tab w:val="right" w:pos="9072"/>
      </w:tabs>
      <w:spacing w:after="0" w:line="240" w:lineRule="auto"/>
    </w:pPr>
  </w:style>
  <w:style w:type="character" w:customStyle="1" w:styleId="ZpatChar">
    <w:name w:val="Zápatí Char"/>
    <w:basedOn w:val="Standardnpsmoodstavce"/>
    <w:link w:val="Zpat"/>
    <w:uiPriority w:val="99"/>
    <w:rsid w:val="00973A68"/>
  </w:style>
  <w:style w:type="character" w:customStyle="1" w:styleId="StylodstavecslovanChar">
    <w:name w:val="Styl odstavec číslovaný Char"/>
    <w:link w:val="Stylodstavecslovan"/>
    <w:locked/>
    <w:rsid w:val="00721864"/>
    <w:rPr>
      <w:rFonts w:cs="Calibri"/>
    </w:rPr>
  </w:style>
  <w:style w:type="paragraph" w:customStyle="1" w:styleId="Stylodstavecslovan">
    <w:name w:val="Styl odstavec číslovaný"/>
    <w:basedOn w:val="Nadpis2"/>
    <w:link w:val="StylodstavecslovanChar"/>
    <w:rsid w:val="00721864"/>
    <w:pPr>
      <w:keepNext w:val="0"/>
      <w:keepLines w:val="0"/>
      <w:tabs>
        <w:tab w:val="num" w:pos="142"/>
      </w:tabs>
      <w:spacing w:before="0" w:after="120" w:line="280" w:lineRule="atLeast"/>
      <w:ind w:left="1154" w:hanging="360"/>
      <w:jc w:val="both"/>
    </w:pPr>
    <w:rPr>
      <w:rFonts w:asciiTheme="minorHAnsi" w:eastAsiaTheme="minorHAnsi" w:hAnsiTheme="minorHAnsi" w:cs="Calibri"/>
      <w:color w:val="auto"/>
      <w:sz w:val="22"/>
      <w:szCs w:val="22"/>
    </w:rPr>
  </w:style>
  <w:style w:type="character" w:customStyle="1" w:styleId="Nadpis2Char">
    <w:name w:val="Nadpis 2 Char"/>
    <w:basedOn w:val="Standardnpsmoodstavce"/>
    <w:link w:val="Nadpis2"/>
    <w:uiPriority w:val="9"/>
    <w:semiHidden/>
    <w:rsid w:val="0072186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842</Words>
  <Characters>4972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Tichá, Petra</dc:creator>
  <cp:keywords/>
  <dc:description/>
  <cp:lastModifiedBy>Tichá, Petra</cp:lastModifiedBy>
  <cp:revision>3</cp:revision>
  <dcterms:created xsi:type="dcterms:W3CDTF">2019-03-21T11:32:00Z</dcterms:created>
  <dcterms:modified xsi:type="dcterms:W3CDTF">2019-03-22T06:45:00Z</dcterms:modified>
</cp:coreProperties>
</file>