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61549" w14:textId="58682EBB"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1B0A5FE8"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 xml:space="preserve">Specifikace se vztahuje na kovově kryté, typově odzkoušené rozvaděče do 25 </w:t>
      </w:r>
      <w:proofErr w:type="spellStart"/>
      <w:r w:rsidRPr="00EE5E43">
        <w:rPr>
          <w:rFonts w:ascii="Arial" w:hAnsi="Arial" w:cs="Arial"/>
        </w:rPr>
        <w:t>kV</w:t>
      </w:r>
      <w:proofErr w:type="spellEnd"/>
      <w:r w:rsidRPr="00EE5E43">
        <w:rPr>
          <w:rFonts w:ascii="Arial" w:hAnsi="Arial" w:cs="Arial"/>
        </w:rPr>
        <w:t xml:space="preserve"> s izolací plynem</w:t>
      </w:r>
      <w:r w:rsidR="00DF20DA">
        <w:rPr>
          <w:rFonts w:ascii="Arial" w:hAnsi="Arial" w:cs="Arial"/>
        </w:rPr>
        <w:t xml:space="preserve"> odpovídající normě ČSN EN 62271-200</w:t>
      </w:r>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Přípojnice jsou uvnitř uzavřené nádoby (tanku) s plynem včetně aktivních částí spínacích přístrojů</w:t>
      </w:r>
      <w:r w:rsidR="00D90126" w:rsidRPr="00EE5E43">
        <w:rPr>
          <w:rFonts w:ascii="Arial" w:hAnsi="Arial" w:cs="Arial"/>
        </w:rPr>
        <w:t>. Vypínače budou použity vakuové, s funkcí opětného zapínání nebo bez funkce opětného zapínání.</w:t>
      </w:r>
    </w:p>
    <w:p w14:paraId="0C263188" w14:textId="0B8D6F20" w:rsidR="004F7D6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w:t>
      </w:r>
      <w:r w:rsidR="000C1407" w:rsidRPr="00EE5E43">
        <w:rPr>
          <w:rFonts w:ascii="Arial" w:hAnsi="Arial" w:cs="Arial"/>
        </w:rPr>
        <w:t>měření</w:t>
      </w:r>
      <w:r w:rsidR="00A8667B" w:rsidRPr="00EE5E43">
        <w:rPr>
          <w:rFonts w:ascii="Arial" w:hAnsi="Arial" w:cs="Arial"/>
        </w:rPr>
        <w:t xml:space="preserve"> atd.</w:t>
      </w:r>
      <w:r w:rsidRPr="00EE5E43">
        <w:rPr>
          <w:rFonts w:ascii="Arial" w:hAnsi="Arial" w:cs="Arial"/>
        </w:rPr>
        <w:t xml:space="preserve"> </w:t>
      </w:r>
    </w:p>
    <w:p w14:paraId="00888B51" w14:textId="4BB6612E" w:rsidR="003D0731" w:rsidRPr="00EE5E43" w:rsidRDefault="003D0731" w:rsidP="003D0731">
      <w:pPr>
        <w:tabs>
          <w:tab w:val="left" w:pos="426"/>
        </w:tabs>
        <w:spacing w:after="120" w:line="276" w:lineRule="auto"/>
        <w:jc w:val="both"/>
        <w:rPr>
          <w:rFonts w:ascii="Arial" w:hAnsi="Arial" w:cs="Arial"/>
        </w:rPr>
      </w:pPr>
      <w:r>
        <w:rPr>
          <w:rFonts w:ascii="Arial" w:hAnsi="Arial" w:cs="Arial"/>
        </w:rPr>
        <w:t>R</w:t>
      </w:r>
      <w:r w:rsidRPr="003D0731">
        <w:rPr>
          <w:rFonts w:ascii="Arial" w:hAnsi="Arial" w:cs="Arial"/>
        </w:rPr>
        <w:t>ozv</w:t>
      </w:r>
      <w:r>
        <w:rPr>
          <w:rFonts w:ascii="Arial" w:hAnsi="Arial" w:cs="Arial"/>
        </w:rPr>
        <w:t>a</w:t>
      </w:r>
      <w:r w:rsidRPr="003D0731">
        <w:rPr>
          <w:rFonts w:ascii="Arial" w:hAnsi="Arial" w:cs="Arial"/>
        </w:rPr>
        <w:t xml:space="preserve">děč musí </w:t>
      </w:r>
      <w:r w:rsidR="000D7D84">
        <w:rPr>
          <w:rFonts w:ascii="Arial" w:hAnsi="Arial" w:cs="Arial"/>
        </w:rPr>
        <w:t xml:space="preserve">splňovat dobu </w:t>
      </w:r>
      <w:r w:rsidRPr="003D0731">
        <w:rPr>
          <w:rFonts w:ascii="Arial" w:hAnsi="Arial" w:cs="Arial"/>
        </w:rPr>
        <w:t>technick</w:t>
      </w:r>
      <w:r w:rsidR="000D7D84">
        <w:rPr>
          <w:rFonts w:ascii="Arial" w:hAnsi="Arial" w:cs="Arial"/>
        </w:rPr>
        <w:t>é</w:t>
      </w:r>
      <w:r w:rsidRPr="003D0731">
        <w:rPr>
          <w:rFonts w:ascii="Arial" w:hAnsi="Arial" w:cs="Arial"/>
        </w:rPr>
        <w:t xml:space="preserve"> životnost</w:t>
      </w:r>
      <w:r w:rsidR="000D7D84">
        <w:rPr>
          <w:rFonts w:ascii="Arial" w:hAnsi="Arial" w:cs="Arial"/>
        </w:rPr>
        <w:t>i</w:t>
      </w:r>
      <w:r w:rsidRPr="003D0731">
        <w:rPr>
          <w:rFonts w:ascii="Arial" w:hAnsi="Arial" w:cs="Arial"/>
        </w:rPr>
        <w:t xml:space="preserve"> minimálně 40 let. </w:t>
      </w:r>
      <w:r w:rsidR="000D7D84">
        <w:rPr>
          <w:rFonts w:ascii="Arial" w:hAnsi="Arial" w:cs="Arial"/>
        </w:rPr>
        <w:t xml:space="preserve">Rozvaděč </w:t>
      </w:r>
      <w:r w:rsidRPr="003D0731">
        <w:rPr>
          <w:rFonts w:ascii="Arial" w:hAnsi="Arial" w:cs="Arial"/>
        </w:rPr>
        <w:t>by měl být po celou dobu životnosti bezúdržbový</w:t>
      </w:r>
      <w:r w:rsidR="000D7D84">
        <w:rPr>
          <w:rFonts w:ascii="Arial" w:hAnsi="Arial" w:cs="Arial"/>
        </w:rPr>
        <w:t xml:space="preserve">, případně musí být uvedeny </w:t>
      </w:r>
      <w:r w:rsidRPr="003D0731">
        <w:rPr>
          <w:rFonts w:ascii="Arial" w:hAnsi="Arial" w:cs="Arial"/>
        </w:rPr>
        <w:t>informace o jakékoli požadované údržbě (cykly údržby</w:t>
      </w:r>
      <w:r w:rsidR="000D7D84">
        <w:rPr>
          <w:rFonts w:ascii="Arial" w:hAnsi="Arial" w:cs="Arial"/>
        </w:rPr>
        <w:t xml:space="preserve"> </w:t>
      </w:r>
      <w:r w:rsidRPr="003D0731">
        <w:rPr>
          <w:rFonts w:ascii="Arial" w:hAnsi="Arial" w:cs="Arial"/>
        </w:rPr>
        <w:t>a podrobný rozsah po dobu životnosti 40 let).</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3A32D736"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 xml:space="preserve">Elektrotechnické </w:t>
            </w:r>
            <w:proofErr w:type="gramStart"/>
            <w:r w:rsidRPr="00EE5E43">
              <w:rPr>
                <w:rFonts w:ascii="Arial" w:hAnsi="Arial" w:cs="Arial"/>
              </w:rPr>
              <w:t>předpisy - Elektrická</w:t>
            </w:r>
            <w:proofErr w:type="gramEnd"/>
            <w:r w:rsidRPr="00EE5E43">
              <w:rPr>
                <w:rFonts w:ascii="Arial" w:hAnsi="Arial" w:cs="Arial"/>
              </w:rPr>
              <w:t xml:space="preserve">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1E21B25B"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 xml:space="preserve">Zásuvné typy průchodek nad 1 </w:t>
            </w:r>
            <w:proofErr w:type="spellStart"/>
            <w:r w:rsidRPr="00EE5E43">
              <w:rPr>
                <w:rFonts w:ascii="Arial" w:hAnsi="Arial" w:cs="Arial"/>
              </w:rPr>
              <w:t>kV</w:t>
            </w:r>
            <w:proofErr w:type="spellEnd"/>
            <w:r w:rsidRPr="00EE5E43">
              <w:rPr>
                <w:rFonts w:ascii="Arial" w:hAnsi="Arial" w:cs="Arial"/>
              </w:rPr>
              <w:t xml:space="preserve"> až do 52 </w:t>
            </w:r>
            <w:proofErr w:type="spellStart"/>
            <w:r w:rsidRPr="00EE5E43">
              <w:rPr>
                <w:rFonts w:ascii="Arial" w:hAnsi="Arial" w:cs="Arial"/>
              </w:rPr>
              <w:t>kV</w:t>
            </w:r>
            <w:proofErr w:type="spellEnd"/>
            <w:r w:rsidRPr="00EE5E43">
              <w:rPr>
                <w:rFonts w:ascii="Arial" w:hAnsi="Arial" w:cs="Arial"/>
              </w:rPr>
              <w:t xml:space="preserve"> a od 250 A do 2,50 </w:t>
            </w:r>
            <w:proofErr w:type="spellStart"/>
            <w:r w:rsidRPr="00EE5E43">
              <w:rPr>
                <w:rFonts w:ascii="Arial" w:hAnsi="Arial" w:cs="Arial"/>
              </w:rPr>
              <w:t>kA</w:t>
            </w:r>
            <w:proofErr w:type="spellEnd"/>
            <w:r w:rsidRPr="00EE5E43">
              <w:rPr>
                <w:rFonts w:ascii="Arial" w:hAnsi="Arial" w:cs="Arial"/>
              </w:rPr>
              <w:t xml:space="preserve">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56AFBDA2" w:rsidR="0055330E" w:rsidRPr="00EE5E43" w:rsidRDefault="0055330E" w:rsidP="0055330E">
            <w:pPr>
              <w:rPr>
                <w:rFonts w:ascii="Arial" w:hAnsi="Arial" w:cs="Arial"/>
              </w:rPr>
            </w:pPr>
            <w:r w:rsidRPr="00EE5E43">
              <w:rPr>
                <w:rFonts w:ascii="Arial" w:hAnsi="Arial" w:cs="Arial"/>
              </w:rPr>
              <w:t>ČSN EN 60282-1</w:t>
            </w:r>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 xml:space="preserve">Pojistky vysokého </w:t>
            </w:r>
            <w:proofErr w:type="gramStart"/>
            <w:r w:rsidRPr="00EE5E43">
              <w:rPr>
                <w:rFonts w:ascii="Arial" w:hAnsi="Arial" w:cs="Arial"/>
              </w:rPr>
              <w:t>napětí - Část</w:t>
            </w:r>
            <w:proofErr w:type="gramEnd"/>
            <w:r w:rsidRPr="00EE5E43">
              <w:rPr>
                <w:rFonts w:ascii="Arial" w:hAnsi="Arial" w:cs="Arial"/>
              </w:rPr>
              <w:t xml:space="preserve"> 1: Pojistky omezující proud</w:t>
            </w:r>
          </w:p>
        </w:tc>
      </w:tr>
      <w:tr w:rsidR="00550592" w:rsidRPr="00EE5E43" w14:paraId="0C26319B" w14:textId="77777777" w:rsidTr="00E34395">
        <w:trPr>
          <w:trHeight w:val="375"/>
          <w:jc w:val="center"/>
        </w:trPr>
        <w:tc>
          <w:tcPr>
            <w:tcW w:w="2127" w:type="dxa"/>
            <w:vAlign w:val="center"/>
          </w:tcPr>
          <w:p w14:paraId="0C263199" w14:textId="348C23DB"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w:t>
            </w:r>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 xml:space="preserve">Základní a bezpečnostní zásady pro rozhraní člověk-stroj, značení a </w:t>
            </w:r>
            <w:proofErr w:type="gramStart"/>
            <w:r w:rsidRPr="00EE5E43">
              <w:rPr>
                <w:rFonts w:ascii="Arial" w:hAnsi="Arial" w:cs="Arial"/>
              </w:rPr>
              <w:t>identifikaci - Zásady</w:t>
            </w:r>
            <w:proofErr w:type="gramEnd"/>
            <w:r w:rsidRPr="00EE5E43">
              <w:rPr>
                <w:rFonts w:ascii="Arial" w:hAnsi="Arial" w:cs="Arial"/>
              </w:rPr>
              <w:t xml:space="preserve"> pro ovládání</w:t>
            </w:r>
          </w:p>
        </w:tc>
      </w:tr>
      <w:tr w:rsidR="0055330E" w:rsidRPr="00EE5E43" w14:paraId="0C26319E" w14:textId="77777777" w:rsidTr="00E34395">
        <w:trPr>
          <w:trHeight w:val="375"/>
          <w:jc w:val="center"/>
        </w:trPr>
        <w:tc>
          <w:tcPr>
            <w:tcW w:w="2127" w:type="dxa"/>
            <w:vAlign w:val="center"/>
          </w:tcPr>
          <w:p w14:paraId="0C26319C" w14:textId="70838ADF"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w:t>
            </w:r>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 xml:space="preserve">Zhotovování dokumentů používaných v </w:t>
            </w:r>
            <w:proofErr w:type="gramStart"/>
            <w:r w:rsidRPr="00EE5E43">
              <w:rPr>
                <w:rFonts w:ascii="Arial" w:hAnsi="Arial" w:cs="Arial"/>
              </w:rPr>
              <w:t>elektrotechnice - Část</w:t>
            </w:r>
            <w:proofErr w:type="gramEnd"/>
            <w:r w:rsidRPr="00EE5E43">
              <w:rPr>
                <w:rFonts w:ascii="Arial" w:hAnsi="Arial" w:cs="Arial"/>
              </w:rPr>
              <w:t xml:space="preserve">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(VDS)</w:t>
            </w:r>
          </w:p>
        </w:tc>
      </w:tr>
      <w:tr w:rsidR="00224422" w:rsidRPr="00EE5E43" w14:paraId="28A3C31F" w14:textId="77777777" w:rsidTr="00E34395">
        <w:trPr>
          <w:trHeight w:val="375"/>
          <w:jc w:val="center"/>
        </w:trPr>
        <w:tc>
          <w:tcPr>
            <w:tcW w:w="2127" w:type="dxa"/>
            <w:vAlign w:val="center"/>
          </w:tcPr>
          <w:p w14:paraId="2583527A" w14:textId="3378BD9D" w:rsidR="00224422" w:rsidRPr="00EE5E43" w:rsidRDefault="00224422" w:rsidP="0055330E">
            <w:pPr>
              <w:rPr>
                <w:rFonts w:ascii="Arial" w:hAnsi="Arial" w:cs="Arial"/>
              </w:rPr>
            </w:pPr>
            <w:r w:rsidRPr="00224422">
              <w:rPr>
                <w:rFonts w:ascii="Arial" w:hAnsi="Arial" w:cs="Arial"/>
              </w:rPr>
              <w:t>ČSN EN IEC 62271-213</w:t>
            </w:r>
          </w:p>
        </w:tc>
        <w:tc>
          <w:tcPr>
            <w:tcW w:w="7371" w:type="dxa"/>
            <w:vAlign w:val="center"/>
          </w:tcPr>
          <w:p w14:paraId="39FFE292" w14:textId="0869800B" w:rsidR="00224422" w:rsidRPr="00EE5E43" w:rsidRDefault="00224422" w:rsidP="0055330E">
            <w:pPr>
              <w:rPr>
                <w:rFonts w:ascii="Arial" w:hAnsi="Arial" w:cs="Arial"/>
              </w:rPr>
            </w:pPr>
            <w:r w:rsidRPr="00224422">
              <w:rPr>
                <w:rFonts w:ascii="Arial" w:hAnsi="Arial" w:cs="Arial"/>
              </w:rPr>
              <w:t xml:space="preserve">Vysokonapěťová spínací a řídicí </w:t>
            </w:r>
            <w:proofErr w:type="gramStart"/>
            <w:r w:rsidRPr="00224422">
              <w:rPr>
                <w:rFonts w:ascii="Arial" w:hAnsi="Arial" w:cs="Arial"/>
              </w:rPr>
              <w:t>zařízení - Část</w:t>
            </w:r>
            <w:proofErr w:type="gramEnd"/>
            <w:r w:rsidRPr="00224422">
              <w:rPr>
                <w:rFonts w:ascii="Arial" w:hAnsi="Arial" w:cs="Arial"/>
              </w:rPr>
              <w:t xml:space="preserve"> 213: Systém detekce a indikace napětí</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31FB01A7" w:rsidR="0055330E" w:rsidRPr="00EE5E43" w:rsidRDefault="0055330E" w:rsidP="0055330E">
            <w:pPr>
              <w:rPr>
                <w:rFonts w:ascii="Arial" w:hAnsi="Arial" w:cs="Arial"/>
              </w:rPr>
            </w:pPr>
            <w:r w:rsidRPr="00EE5E43">
              <w:rPr>
                <w:rFonts w:ascii="Arial" w:hAnsi="Arial" w:cs="Arial"/>
              </w:rPr>
              <w:t>ČSN EN 61914</w:t>
            </w:r>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9D0AF1" w:rsidRPr="00EE5E43" w14:paraId="0C2631BC" w14:textId="77777777" w:rsidTr="00E34395">
        <w:trPr>
          <w:trHeight w:val="375"/>
          <w:jc w:val="center"/>
        </w:trPr>
        <w:tc>
          <w:tcPr>
            <w:tcW w:w="2127" w:type="dxa"/>
            <w:vAlign w:val="center"/>
          </w:tcPr>
          <w:p w14:paraId="0C2631BA" w14:textId="473A6CA6" w:rsidR="009D0AF1" w:rsidRPr="00EE5E43" w:rsidRDefault="009D0AF1" w:rsidP="009D0AF1">
            <w:pPr>
              <w:rPr>
                <w:rFonts w:ascii="Arial" w:hAnsi="Arial" w:cs="Arial"/>
              </w:rPr>
            </w:pPr>
            <w:r w:rsidRPr="00EE5E43">
              <w:rPr>
                <w:rFonts w:ascii="Arial" w:hAnsi="Arial" w:cs="Arial"/>
              </w:rPr>
              <w:t xml:space="preserve">ČSN EN </w:t>
            </w:r>
            <w:proofErr w:type="gramStart"/>
            <w:r w:rsidRPr="00EE5E43">
              <w:rPr>
                <w:rFonts w:ascii="Arial" w:hAnsi="Arial" w:cs="Arial"/>
              </w:rPr>
              <w:t>62271 -1</w:t>
            </w:r>
            <w:proofErr w:type="gramEnd"/>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 Společná ustanovení</w:t>
            </w:r>
          </w:p>
        </w:tc>
      </w:tr>
      <w:tr w:rsidR="00D52EEA" w:rsidRPr="00EE5E43" w14:paraId="1B59BB75" w14:textId="77777777" w:rsidTr="00E34395">
        <w:trPr>
          <w:trHeight w:val="375"/>
          <w:jc w:val="center"/>
        </w:trPr>
        <w:tc>
          <w:tcPr>
            <w:tcW w:w="2127" w:type="dxa"/>
            <w:vAlign w:val="center"/>
          </w:tcPr>
          <w:p w14:paraId="154EBCFC" w14:textId="40F2CB77" w:rsidR="00D52EEA" w:rsidRPr="00EE5E43" w:rsidRDefault="00D52EEA" w:rsidP="009D0AF1">
            <w:pPr>
              <w:rPr>
                <w:rFonts w:ascii="Arial" w:hAnsi="Arial" w:cs="Arial"/>
              </w:rPr>
            </w:pPr>
            <w:r w:rsidRPr="00EE5E43">
              <w:rPr>
                <w:rFonts w:ascii="Arial" w:hAnsi="Arial" w:cs="Arial"/>
              </w:rPr>
              <w:t xml:space="preserve">ČSN EN </w:t>
            </w:r>
            <w:proofErr w:type="gramStart"/>
            <w:r w:rsidRPr="00EE5E43">
              <w:rPr>
                <w:rFonts w:ascii="Arial" w:hAnsi="Arial" w:cs="Arial"/>
              </w:rPr>
              <w:t>62271 -</w:t>
            </w:r>
            <w:r>
              <w:rPr>
                <w:rFonts w:ascii="Arial" w:hAnsi="Arial" w:cs="Arial"/>
              </w:rPr>
              <w:t>4</w:t>
            </w:r>
            <w:proofErr w:type="gramEnd"/>
            <w:r w:rsidRPr="00EE5E43">
              <w:rPr>
                <w:rFonts w:ascii="Arial" w:hAnsi="Arial" w:cs="Arial"/>
              </w:rPr>
              <w:t xml:space="preserve"> </w:t>
            </w:r>
          </w:p>
        </w:tc>
        <w:tc>
          <w:tcPr>
            <w:tcW w:w="7371" w:type="dxa"/>
            <w:vAlign w:val="center"/>
          </w:tcPr>
          <w:p w14:paraId="08B4CE44" w14:textId="69FA1B1E" w:rsidR="00D52EEA" w:rsidRPr="00EE5E43" w:rsidRDefault="00D52EEA"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w:t>
            </w:r>
            <w:r>
              <w:rPr>
                <w:rFonts w:ascii="Arial" w:hAnsi="Arial" w:cs="Arial"/>
              </w:rPr>
              <w:t>4</w:t>
            </w:r>
            <w:r w:rsidRPr="00EE5E43">
              <w:rPr>
                <w:rFonts w:ascii="Arial" w:hAnsi="Arial" w:cs="Arial"/>
              </w:rPr>
              <w:t xml:space="preserve">: </w:t>
            </w:r>
            <w:r>
              <w:rPr>
                <w:rFonts w:ascii="Arial" w:hAnsi="Arial" w:cs="Arial"/>
              </w:rPr>
              <w:t>Postupy pro manipulaci pro plyny pro izolaci a/nebo spínání</w:t>
            </w:r>
          </w:p>
        </w:tc>
      </w:tr>
      <w:tr w:rsidR="009D0AF1" w:rsidRPr="00EE5E43" w14:paraId="0C2631BF" w14:textId="77777777" w:rsidTr="00E34395">
        <w:trPr>
          <w:trHeight w:val="375"/>
          <w:jc w:val="center"/>
        </w:trPr>
        <w:tc>
          <w:tcPr>
            <w:tcW w:w="2127" w:type="dxa"/>
            <w:vAlign w:val="center"/>
          </w:tcPr>
          <w:p w14:paraId="0C2631BD" w14:textId="366F8BE8" w:rsidR="009D0AF1" w:rsidRPr="00E43E69" w:rsidRDefault="009D0AF1" w:rsidP="009D0AF1">
            <w:pPr>
              <w:rPr>
                <w:rFonts w:ascii="Arial" w:hAnsi="Arial" w:cs="Arial"/>
                <w:highlight w:val="yellow"/>
              </w:rPr>
            </w:pPr>
            <w:r w:rsidRPr="00E43E69">
              <w:rPr>
                <w:rFonts w:ascii="Arial" w:hAnsi="Arial" w:cs="Arial"/>
              </w:rPr>
              <w:lastRenderedPageBreak/>
              <w:t xml:space="preserve">ČSN EN 62271-200 </w:t>
            </w:r>
          </w:p>
        </w:tc>
        <w:tc>
          <w:tcPr>
            <w:tcW w:w="7371" w:type="dxa"/>
            <w:vAlign w:val="center"/>
          </w:tcPr>
          <w:p w14:paraId="0C2631BE" w14:textId="77777777" w:rsidR="009D0AF1" w:rsidRPr="00DF20DA" w:rsidRDefault="009D0AF1" w:rsidP="009D0AF1">
            <w:pPr>
              <w:rPr>
                <w:rFonts w:ascii="Arial" w:hAnsi="Arial" w:cs="Arial"/>
              </w:rPr>
            </w:pPr>
            <w:r w:rsidRPr="00DF20DA">
              <w:rPr>
                <w:rFonts w:ascii="Arial" w:hAnsi="Arial" w:cs="Arial"/>
              </w:rPr>
              <w:t xml:space="preserve">Vysokonapěťová spínací a řídicí zařízení – Část 200: Kovově kryté rozváděče na střídavý proud pro jmenovitá napětí nad 1 </w:t>
            </w:r>
            <w:proofErr w:type="spellStart"/>
            <w:r w:rsidRPr="00DF20DA">
              <w:rPr>
                <w:rFonts w:ascii="Arial" w:hAnsi="Arial" w:cs="Arial"/>
              </w:rPr>
              <w:t>kV</w:t>
            </w:r>
            <w:proofErr w:type="spellEnd"/>
            <w:r w:rsidRPr="00DF20DA">
              <w:rPr>
                <w:rFonts w:ascii="Arial" w:hAnsi="Arial" w:cs="Arial"/>
              </w:rPr>
              <w:t xml:space="preserve"> do 52 </w:t>
            </w:r>
            <w:proofErr w:type="spellStart"/>
            <w:r w:rsidRPr="00DF20DA">
              <w:rPr>
                <w:rFonts w:ascii="Arial" w:hAnsi="Arial" w:cs="Arial"/>
              </w:rPr>
              <w:t>kV</w:t>
            </w:r>
            <w:proofErr w:type="spellEnd"/>
            <w:r w:rsidRPr="00DF20DA">
              <w:rPr>
                <w:rFonts w:ascii="Arial" w:hAnsi="Arial" w:cs="Arial"/>
              </w:rPr>
              <w:t xml:space="preserve"> včetně</w:t>
            </w:r>
          </w:p>
        </w:tc>
      </w:tr>
      <w:tr w:rsidR="009D0AF1" w:rsidRPr="00EE5E43" w14:paraId="0C2631C2" w14:textId="77777777" w:rsidTr="00E34395">
        <w:trPr>
          <w:trHeight w:val="375"/>
          <w:jc w:val="center"/>
        </w:trPr>
        <w:tc>
          <w:tcPr>
            <w:tcW w:w="2127" w:type="dxa"/>
            <w:vAlign w:val="center"/>
          </w:tcPr>
          <w:p w14:paraId="0C2631C0" w14:textId="4550F8C8" w:rsidR="009D0AF1" w:rsidRPr="00DF20DA" w:rsidRDefault="009D0AF1" w:rsidP="009D0AF1">
            <w:pPr>
              <w:rPr>
                <w:rFonts w:ascii="Arial" w:hAnsi="Arial" w:cs="Arial"/>
                <w:highlight w:val="yellow"/>
              </w:rPr>
            </w:pPr>
            <w:r w:rsidRPr="00E43E69">
              <w:rPr>
                <w:rFonts w:ascii="Arial" w:hAnsi="Arial" w:cs="Arial"/>
              </w:rPr>
              <w:t xml:space="preserve">ČSN EN 62271-100 </w:t>
            </w:r>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100: Vypínače střídavého proudu</w:t>
            </w:r>
          </w:p>
        </w:tc>
      </w:tr>
      <w:tr w:rsidR="009D0AF1" w:rsidRPr="00EE5E43" w14:paraId="0C2631C5" w14:textId="77777777" w:rsidTr="00E34395">
        <w:trPr>
          <w:trHeight w:val="375"/>
          <w:jc w:val="center"/>
        </w:trPr>
        <w:tc>
          <w:tcPr>
            <w:tcW w:w="2127" w:type="dxa"/>
            <w:vAlign w:val="center"/>
          </w:tcPr>
          <w:p w14:paraId="0C2631C3" w14:textId="3690E183" w:rsidR="009D0AF1" w:rsidRPr="00DF20DA" w:rsidRDefault="009D0AF1" w:rsidP="009D0AF1">
            <w:pPr>
              <w:rPr>
                <w:rFonts w:ascii="Arial" w:hAnsi="Arial" w:cs="Arial"/>
                <w:highlight w:val="yellow"/>
              </w:rPr>
            </w:pPr>
            <w:r w:rsidRPr="00E43E69">
              <w:rPr>
                <w:rFonts w:ascii="Arial" w:hAnsi="Arial" w:cs="Arial"/>
              </w:rPr>
              <w:t>ČSN EN 62271-102</w:t>
            </w:r>
          </w:p>
        </w:tc>
        <w:tc>
          <w:tcPr>
            <w:tcW w:w="7371" w:type="dxa"/>
            <w:vAlign w:val="center"/>
          </w:tcPr>
          <w:p w14:paraId="0C2631C4" w14:textId="7C73923E"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102: Odpojovače a uzemňovače střídavého proudu</w:t>
            </w:r>
          </w:p>
        </w:tc>
      </w:tr>
      <w:tr w:rsidR="009D0AF1" w:rsidRPr="00EE5E43" w14:paraId="0C2631C8" w14:textId="77777777" w:rsidTr="00E34395">
        <w:trPr>
          <w:trHeight w:val="375"/>
          <w:jc w:val="center"/>
        </w:trPr>
        <w:tc>
          <w:tcPr>
            <w:tcW w:w="2127" w:type="dxa"/>
            <w:vAlign w:val="center"/>
          </w:tcPr>
          <w:p w14:paraId="0C2631C6" w14:textId="3BB1F375" w:rsidR="009D0AF1" w:rsidRPr="00DF20DA" w:rsidRDefault="009D0AF1" w:rsidP="009D0AF1">
            <w:pPr>
              <w:rPr>
                <w:rFonts w:ascii="Arial" w:hAnsi="Arial" w:cs="Arial"/>
                <w:highlight w:val="yellow"/>
              </w:rPr>
            </w:pPr>
            <w:r w:rsidRPr="00E43E69">
              <w:rPr>
                <w:rFonts w:ascii="Arial" w:hAnsi="Arial" w:cs="Arial"/>
              </w:rPr>
              <w:t xml:space="preserve">ČSN </w:t>
            </w:r>
            <w:r w:rsidR="00DF20DA" w:rsidRPr="00E43E69">
              <w:rPr>
                <w:rFonts w:ascii="Arial" w:hAnsi="Arial" w:cs="Arial"/>
              </w:rPr>
              <w:t xml:space="preserve">IEC </w:t>
            </w:r>
            <w:r w:rsidRPr="00E43E69">
              <w:rPr>
                <w:rFonts w:ascii="Arial" w:hAnsi="Arial" w:cs="Arial"/>
              </w:rPr>
              <w:t>EN 62271-103</w:t>
            </w:r>
          </w:p>
        </w:tc>
        <w:tc>
          <w:tcPr>
            <w:tcW w:w="7371" w:type="dxa"/>
            <w:vAlign w:val="center"/>
          </w:tcPr>
          <w:p w14:paraId="0C2631C7" w14:textId="61649CCC"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103: Spínače </w:t>
            </w:r>
            <w:r w:rsidR="00DF20DA">
              <w:rPr>
                <w:rFonts w:ascii="Arial" w:hAnsi="Arial" w:cs="Arial"/>
              </w:rPr>
              <w:t xml:space="preserve">střídavého proudu pro </w:t>
            </w:r>
            <w:r w:rsidRPr="00EE5E43">
              <w:rPr>
                <w:rFonts w:ascii="Arial" w:hAnsi="Arial" w:cs="Arial"/>
              </w:rPr>
              <w:t xml:space="preserve">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C" w14:textId="77777777" w:rsidTr="00E34395">
        <w:trPr>
          <w:trHeight w:val="375"/>
          <w:jc w:val="center"/>
        </w:trPr>
        <w:tc>
          <w:tcPr>
            <w:tcW w:w="2127" w:type="dxa"/>
            <w:vAlign w:val="center"/>
          </w:tcPr>
          <w:p w14:paraId="0C2631C9" w14:textId="1F1DC4C5" w:rsidR="009D0AF1" w:rsidRPr="00DF20DA" w:rsidRDefault="009D0AF1" w:rsidP="009D0AF1">
            <w:pPr>
              <w:rPr>
                <w:rFonts w:ascii="Arial" w:hAnsi="Arial" w:cs="Arial"/>
                <w:highlight w:val="yellow"/>
              </w:rPr>
            </w:pPr>
            <w:r w:rsidRPr="00E43E69">
              <w:rPr>
                <w:rFonts w:ascii="Arial" w:hAnsi="Arial" w:cs="Arial"/>
              </w:rPr>
              <w:t>ČSN EN 62271-105</w:t>
            </w:r>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105: Kombinace spínače</w:t>
            </w:r>
          </w:p>
          <w:p w14:paraId="0C2631CB" w14:textId="62EF5891" w:rsidR="009D0AF1" w:rsidRPr="00EE5E43" w:rsidRDefault="009D0AF1" w:rsidP="009D0AF1">
            <w:pPr>
              <w:rPr>
                <w:rFonts w:ascii="Arial" w:hAnsi="Arial" w:cs="Arial"/>
              </w:rPr>
            </w:pPr>
            <w:r w:rsidRPr="00EE5E43">
              <w:rPr>
                <w:rFonts w:ascii="Arial" w:hAnsi="Arial" w:cs="Arial"/>
              </w:rPr>
              <w:t>s pojistkami na střídavý proud</w:t>
            </w:r>
            <w:r w:rsidR="00752393">
              <w:rPr>
                <w:rFonts w:ascii="Arial" w:hAnsi="Arial" w:cs="Arial"/>
              </w:rPr>
              <w:t xml:space="preserve"> pro jmenovitá napětí nad 1 </w:t>
            </w:r>
            <w:proofErr w:type="spellStart"/>
            <w:r w:rsidR="00752393">
              <w:rPr>
                <w:rFonts w:ascii="Arial" w:hAnsi="Arial" w:cs="Arial"/>
              </w:rPr>
              <w:t>kV</w:t>
            </w:r>
            <w:proofErr w:type="spellEnd"/>
            <w:r w:rsidR="00752393">
              <w:rPr>
                <w:rFonts w:ascii="Arial" w:hAnsi="Arial" w:cs="Arial"/>
              </w:rPr>
              <w:t xml:space="preserve"> do 52 </w:t>
            </w:r>
            <w:proofErr w:type="spellStart"/>
            <w:r w:rsidR="00752393">
              <w:rPr>
                <w:rFonts w:ascii="Arial" w:hAnsi="Arial" w:cs="Arial"/>
              </w:rPr>
              <w:t>kV</w:t>
            </w:r>
            <w:proofErr w:type="spellEnd"/>
            <w:r w:rsidR="00752393">
              <w:rPr>
                <w:rFonts w:ascii="Arial" w:hAnsi="Arial" w:cs="Arial"/>
              </w:rPr>
              <w:t xml:space="preserve"> včetně</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w:t>
            </w:r>
            <w:proofErr w:type="gramStart"/>
            <w:r w:rsidRPr="00EE5E43">
              <w:rPr>
                <w:rFonts w:ascii="Arial" w:hAnsi="Arial" w:cs="Arial"/>
              </w:rPr>
              <w:t>krytí - IP</w:t>
            </w:r>
            <w:proofErr w:type="gramEnd"/>
            <w:r w:rsidRPr="00EE5E43">
              <w:rPr>
                <w:rFonts w:ascii="Arial" w:hAnsi="Arial" w:cs="Arial"/>
              </w:rPr>
              <w:t xml:space="preserve">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59511BE7" w:rsidR="009D0AF1" w:rsidRPr="00EE5E43" w:rsidRDefault="009D0AF1" w:rsidP="009D0AF1">
            <w:pPr>
              <w:rPr>
                <w:rFonts w:ascii="Arial" w:hAnsi="Arial" w:cs="Arial"/>
              </w:rPr>
            </w:pPr>
            <w:r w:rsidRPr="00EE5E43">
              <w:rPr>
                <w:rFonts w:ascii="Arial" w:hAnsi="Arial" w:cs="Arial"/>
                <w:kern w:val="28"/>
              </w:rPr>
              <w:t>ČSN 33 2000-5-51</w:t>
            </w:r>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 xml:space="preserve">Elektrotechnické </w:t>
            </w:r>
            <w:proofErr w:type="gramStart"/>
            <w:r w:rsidRPr="00EE5E43">
              <w:rPr>
                <w:rFonts w:ascii="Arial" w:hAnsi="Arial" w:cs="Arial"/>
                <w:kern w:val="28"/>
              </w:rPr>
              <w:t>předpisy - Elektrická</w:t>
            </w:r>
            <w:proofErr w:type="gramEnd"/>
            <w:r w:rsidRPr="00EE5E43">
              <w:rPr>
                <w:rFonts w:ascii="Arial" w:hAnsi="Arial" w:cs="Arial"/>
                <w:kern w:val="28"/>
              </w:rPr>
              <w:t xml:space="preserve">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4F3B4734" w:rsidR="009D0AF1" w:rsidRPr="00EE5E43" w:rsidRDefault="009D0AF1" w:rsidP="009D0AF1">
            <w:pPr>
              <w:rPr>
                <w:rFonts w:ascii="Arial" w:hAnsi="Arial" w:cs="Arial"/>
              </w:rPr>
            </w:pPr>
            <w:r w:rsidRPr="00EE5E43">
              <w:rPr>
                <w:rFonts w:ascii="Arial" w:hAnsi="Arial" w:cs="Arial"/>
              </w:rPr>
              <w:t>ČSN 33 2000-5-52</w:t>
            </w:r>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 xml:space="preserve">Elektrické instalace nízkého </w:t>
            </w:r>
            <w:proofErr w:type="gramStart"/>
            <w:r w:rsidRPr="00EE5E43">
              <w:rPr>
                <w:rFonts w:ascii="Arial" w:hAnsi="Arial" w:cs="Arial"/>
              </w:rPr>
              <w:t>napětí - Část</w:t>
            </w:r>
            <w:proofErr w:type="gramEnd"/>
            <w:r w:rsidRPr="00EE5E43">
              <w:rPr>
                <w:rFonts w:ascii="Arial" w:hAnsi="Arial" w:cs="Arial"/>
              </w:rPr>
              <w:t xml:space="preserve">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207024D7" w:rsidR="009D0AF1" w:rsidRPr="00EE5E43" w:rsidRDefault="009D0AF1" w:rsidP="009D0AF1">
            <w:pPr>
              <w:rPr>
                <w:rFonts w:ascii="Arial" w:hAnsi="Arial" w:cs="Arial"/>
              </w:rPr>
            </w:pPr>
            <w:r w:rsidRPr="00EE5E43">
              <w:rPr>
                <w:rFonts w:ascii="Arial" w:hAnsi="Arial" w:cs="Arial"/>
              </w:rPr>
              <w:t>ČSN EN 61439-1</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1: Všeobecná ustanovení.</w:t>
            </w:r>
          </w:p>
        </w:tc>
      </w:tr>
      <w:tr w:rsidR="009D0AF1" w:rsidRPr="00EE5E43" w14:paraId="0C2631DE" w14:textId="77777777" w:rsidTr="00E34395">
        <w:trPr>
          <w:trHeight w:val="375"/>
          <w:jc w:val="center"/>
        </w:trPr>
        <w:tc>
          <w:tcPr>
            <w:tcW w:w="2127" w:type="dxa"/>
            <w:vAlign w:val="center"/>
          </w:tcPr>
          <w:p w14:paraId="0C2631DC" w14:textId="60CFF715" w:rsidR="009D0AF1" w:rsidRPr="00EE5E43" w:rsidRDefault="009D0AF1" w:rsidP="009D0AF1">
            <w:pPr>
              <w:rPr>
                <w:rFonts w:ascii="Arial" w:hAnsi="Arial" w:cs="Arial"/>
              </w:rPr>
            </w:pPr>
            <w:r w:rsidRPr="00EE5E43">
              <w:rPr>
                <w:rFonts w:ascii="Arial" w:hAnsi="Arial" w:cs="Arial"/>
              </w:rPr>
              <w:t>ČSN EN 61439-2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2: Výkonové rozváděče.</w:t>
            </w:r>
          </w:p>
        </w:tc>
      </w:tr>
      <w:tr w:rsidR="009D0AF1" w:rsidRPr="00EE5E43" w14:paraId="0C2631E1" w14:textId="77777777" w:rsidTr="00E34395">
        <w:trPr>
          <w:trHeight w:val="375"/>
          <w:jc w:val="center"/>
        </w:trPr>
        <w:tc>
          <w:tcPr>
            <w:tcW w:w="2127" w:type="dxa"/>
            <w:vAlign w:val="center"/>
          </w:tcPr>
          <w:p w14:paraId="0C2631DF" w14:textId="1C9F29F8" w:rsidR="009D0AF1" w:rsidRPr="00EE5E43" w:rsidRDefault="009D0AF1" w:rsidP="009D0AF1">
            <w:pPr>
              <w:rPr>
                <w:rFonts w:ascii="Arial" w:hAnsi="Arial" w:cs="Arial"/>
              </w:rPr>
            </w:pPr>
            <w:r w:rsidRPr="00EE5E43">
              <w:rPr>
                <w:rFonts w:ascii="Arial" w:hAnsi="Arial" w:cs="Arial"/>
              </w:rPr>
              <w:t>ČSN EN 61439-5</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045D6B41" w:rsidR="009D0AF1" w:rsidRPr="00EE5E43" w:rsidRDefault="009D0AF1" w:rsidP="009D0AF1">
            <w:pPr>
              <w:rPr>
                <w:rFonts w:ascii="Arial" w:hAnsi="Arial" w:cs="Arial"/>
              </w:rPr>
            </w:pPr>
            <w:r w:rsidRPr="00EE5E43">
              <w:rPr>
                <w:rFonts w:ascii="Arial" w:hAnsi="Arial" w:cs="Arial"/>
              </w:rPr>
              <w:t>ČSN EN 62208</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 xml:space="preserve">Prázdné skříně pro rozváděče nízkého </w:t>
            </w:r>
            <w:proofErr w:type="gramStart"/>
            <w:r w:rsidRPr="00EE5E43">
              <w:rPr>
                <w:rFonts w:ascii="Arial" w:hAnsi="Arial" w:cs="Arial"/>
              </w:rPr>
              <w:t>napětí - Obecné</w:t>
            </w:r>
            <w:proofErr w:type="gramEnd"/>
            <w:r w:rsidRPr="00EE5E43">
              <w:rPr>
                <w:rFonts w:ascii="Arial" w:hAnsi="Arial" w:cs="Arial"/>
              </w:rPr>
              <w:t xml:space="preserve"> požadavky.</w:t>
            </w:r>
          </w:p>
        </w:tc>
      </w:tr>
      <w:tr w:rsidR="00F75872" w:rsidRPr="00EE5E43" w14:paraId="100B4DB2" w14:textId="77777777" w:rsidTr="00E34395">
        <w:trPr>
          <w:trHeight w:val="375"/>
          <w:jc w:val="center"/>
        </w:trPr>
        <w:tc>
          <w:tcPr>
            <w:tcW w:w="2127" w:type="dxa"/>
            <w:vAlign w:val="center"/>
          </w:tcPr>
          <w:p w14:paraId="76F8B306" w14:textId="29D3A4E1" w:rsidR="00F75872" w:rsidRPr="00EE5E43" w:rsidRDefault="00CB5B4C" w:rsidP="009D0AF1">
            <w:pPr>
              <w:rPr>
                <w:rFonts w:ascii="Arial" w:hAnsi="Arial" w:cs="Arial"/>
              </w:rPr>
            </w:pPr>
            <w:r>
              <w:rPr>
                <w:rFonts w:ascii="Arial" w:hAnsi="Arial" w:cs="Arial"/>
              </w:rPr>
              <w:t>ČSN EN 60038</w:t>
            </w:r>
          </w:p>
        </w:tc>
        <w:tc>
          <w:tcPr>
            <w:tcW w:w="7371" w:type="dxa"/>
            <w:vAlign w:val="center"/>
          </w:tcPr>
          <w:p w14:paraId="3DF8E238" w14:textId="769143E4" w:rsidR="00F75872" w:rsidRPr="00EE5E43" w:rsidRDefault="00CB5B4C" w:rsidP="009D0AF1">
            <w:pPr>
              <w:jc w:val="both"/>
              <w:rPr>
                <w:rFonts w:ascii="Arial" w:hAnsi="Arial" w:cs="Arial"/>
              </w:rPr>
            </w:pPr>
            <w:r>
              <w:rPr>
                <w:rFonts w:ascii="Arial" w:hAnsi="Arial" w:cs="Arial"/>
              </w:rPr>
              <w:t>Jmenovitá napětí CENELEC</w:t>
            </w:r>
          </w:p>
        </w:tc>
      </w:tr>
      <w:tr w:rsidR="009D0AF1" w:rsidRPr="00EE5E43" w14:paraId="0C2631E7" w14:textId="77777777" w:rsidTr="00E34395">
        <w:trPr>
          <w:trHeight w:val="375"/>
          <w:jc w:val="center"/>
        </w:trPr>
        <w:tc>
          <w:tcPr>
            <w:tcW w:w="2127" w:type="dxa"/>
            <w:vAlign w:val="center"/>
          </w:tcPr>
          <w:p w14:paraId="0C2631E5" w14:textId="5FA2D519" w:rsidR="009D0AF1" w:rsidRPr="00EE5E43" w:rsidRDefault="009D0AF1" w:rsidP="009D0AF1">
            <w:pPr>
              <w:rPr>
                <w:rFonts w:ascii="Arial" w:hAnsi="Arial" w:cs="Arial"/>
              </w:rPr>
            </w:pPr>
            <w:r w:rsidRPr="00EE5E43">
              <w:rPr>
                <w:rFonts w:ascii="Arial" w:hAnsi="Arial" w:cs="Arial"/>
              </w:rPr>
              <w:t>PNE 33 0000-2</w:t>
            </w:r>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6F4EC40D" w:rsidR="009D0AF1" w:rsidRPr="00EE5E43" w:rsidRDefault="009D0AF1" w:rsidP="009D0AF1">
            <w:pPr>
              <w:rPr>
                <w:rFonts w:ascii="Arial" w:hAnsi="Arial" w:cs="Arial"/>
              </w:rPr>
            </w:pPr>
            <w:r w:rsidRPr="00EE5E43">
              <w:rPr>
                <w:rFonts w:ascii="Arial" w:hAnsi="Arial" w:cs="Arial"/>
              </w:rPr>
              <w:t>PNE 18 4310</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elektrických prvků a zařízení REAS.</w:t>
            </w:r>
          </w:p>
        </w:tc>
      </w:tr>
      <w:tr w:rsidR="009D0AF1" w:rsidRPr="00EE5E43" w14:paraId="0C2631F1" w14:textId="77777777" w:rsidTr="00E34395">
        <w:trPr>
          <w:trHeight w:val="375"/>
          <w:jc w:val="center"/>
        </w:trPr>
        <w:tc>
          <w:tcPr>
            <w:tcW w:w="2127" w:type="dxa"/>
            <w:vAlign w:val="center"/>
          </w:tcPr>
          <w:p w14:paraId="0C2631EF" w14:textId="5772CF0D" w:rsidR="009D0AF1" w:rsidRPr="00EE5E43" w:rsidRDefault="009D0AF1" w:rsidP="009D0AF1">
            <w:pPr>
              <w:rPr>
                <w:rFonts w:ascii="Arial" w:hAnsi="Arial" w:cs="Arial"/>
              </w:rPr>
            </w:pPr>
            <w:r w:rsidRPr="00EE5E43">
              <w:rPr>
                <w:rFonts w:ascii="Arial" w:hAnsi="Arial" w:cs="Arial"/>
                <w:noProof/>
              </w:rPr>
              <w:t xml:space="preserve">PNE 34 7626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 xml:space="preserve">Provozní zkoušky VN kabelových vedení v distribuční síti do 35 </w:t>
            </w:r>
            <w:proofErr w:type="spellStart"/>
            <w:r w:rsidRPr="00EE5E43">
              <w:rPr>
                <w:rFonts w:ascii="Arial" w:hAnsi="Arial" w:cs="Arial"/>
              </w:rPr>
              <w:t>kV</w:t>
            </w:r>
            <w:proofErr w:type="spellEnd"/>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6B5E6E4D"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r w:rsidR="009639AA">
        <w:rPr>
          <w:rFonts w:ascii="Arial" w:hAnsi="Arial" w:cs="Arial"/>
          <w:noProof/>
        </w:rPr>
        <w:t xml:space="preserve"> </w:t>
      </w:r>
      <w:r w:rsidR="009639AA" w:rsidRPr="009639AA">
        <w:rPr>
          <w:rFonts w:ascii="Arial" w:hAnsi="Arial" w:cs="Arial"/>
          <w:noProof/>
        </w:rPr>
        <w:t>Pokud není výslovně uvedeno jinak, jsou v této technické specifikaci uvažované normy v posledním platném vydání.</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191DC19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D7115B">
        <w:tc>
          <w:tcPr>
            <w:tcW w:w="7357"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273"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D7115B">
        <w:tc>
          <w:tcPr>
            <w:tcW w:w="963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D7115B">
        <w:tc>
          <w:tcPr>
            <w:tcW w:w="7357"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273"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D7115B">
        <w:tc>
          <w:tcPr>
            <w:tcW w:w="7357"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273"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D7115B">
        <w:tc>
          <w:tcPr>
            <w:tcW w:w="963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D7115B">
        <w:tc>
          <w:tcPr>
            <w:tcW w:w="7357"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273"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D7115B">
        <w:tc>
          <w:tcPr>
            <w:tcW w:w="7357"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273"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D7115B">
        <w:tc>
          <w:tcPr>
            <w:tcW w:w="7357"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273"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D7115B">
        <w:tc>
          <w:tcPr>
            <w:tcW w:w="7357"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273"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D7115B">
        <w:tc>
          <w:tcPr>
            <w:tcW w:w="963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D7115B">
        <w:tc>
          <w:tcPr>
            <w:tcW w:w="7357"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273" w:type="dxa"/>
          </w:tcPr>
          <w:p w14:paraId="0C26323C" w14:textId="2C97BBE7" w:rsidR="00307A59" w:rsidRPr="00195023" w:rsidRDefault="00A963D0"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0" w14:textId="77777777" w:rsidTr="00D7115B">
        <w:tc>
          <w:tcPr>
            <w:tcW w:w="7357"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273" w:type="dxa"/>
          </w:tcPr>
          <w:p w14:paraId="0C26323F" w14:textId="78BECB69" w:rsidR="00307A59" w:rsidRPr="00195023" w:rsidRDefault="004D3D2F"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3" w14:textId="77777777" w:rsidTr="00D7115B">
        <w:tc>
          <w:tcPr>
            <w:tcW w:w="7357"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273" w:type="dxa"/>
          </w:tcPr>
          <w:p w14:paraId="0C263242" w14:textId="590FFBE7" w:rsidR="00307A59" w:rsidRPr="00EE5E43" w:rsidRDefault="004D3D2F" w:rsidP="00621C5E">
            <w:pPr>
              <w:spacing w:before="60"/>
              <w:jc w:val="both"/>
              <w:rPr>
                <w:rFonts w:ascii="Arial" w:hAnsi="Arial" w:cs="Arial"/>
                <w:noProof/>
              </w:rPr>
            </w:pPr>
            <w:r w:rsidRPr="00195023">
              <w:rPr>
                <w:rFonts w:ascii="Arial" w:hAnsi="Arial" w:cs="Arial"/>
                <w:noProof/>
              </w:rPr>
              <w:t xml:space="preserve">Min. </w:t>
            </w:r>
            <w:r w:rsidR="00307A59" w:rsidRPr="00EE5E43">
              <w:rPr>
                <w:rFonts w:ascii="Arial" w:hAnsi="Arial" w:cs="Arial"/>
                <w:noProof/>
              </w:rPr>
              <w:t>200 A</w:t>
            </w:r>
          </w:p>
        </w:tc>
      </w:tr>
      <w:tr w:rsidR="009A4428" w:rsidRPr="00EE5E43" w14:paraId="0C263246" w14:textId="77777777" w:rsidTr="00D7115B">
        <w:tc>
          <w:tcPr>
            <w:tcW w:w="7357"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273" w:type="dxa"/>
          </w:tcPr>
          <w:p w14:paraId="0C263245" w14:textId="7265197F"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9" w14:textId="77777777" w:rsidTr="00D7115B">
        <w:tc>
          <w:tcPr>
            <w:tcW w:w="7357"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273" w:type="dxa"/>
          </w:tcPr>
          <w:p w14:paraId="0C263248" w14:textId="2E63BCA4"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C" w14:textId="77777777" w:rsidTr="00D7115B">
        <w:tc>
          <w:tcPr>
            <w:tcW w:w="7357"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273" w:type="dxa"/>
          </w:tcPr>
          <w:p w14:paraId="0C26324B" w14:textId="1EAE1E5A"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F" w14:textId="77777777" w:rsidTr="00D7115B">
        <w:tc>
          <w:tcPr>
            <w:tcW w:w="7357"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273" w:type="dxa"/>
          </w:tcPr>
          <w:p w14:paraId="0C26324E" w14:textId="63AE581A"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20 kA/1 s</w:t>
            </w:r>
          </w:p>
        </w:tc>
      </w:tr>
      <w:tr w:rsidR="009A4428" w:rsidRPr="00EE5E43" w14:paraId="0C263252" w14:textId="77777777" w:rsidTr="00D7115B">
        <w:tc>
          <w:tcPr>
            <w:tcW w:w="7357"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273" w:type="dxa"/>
          </w:tcPr>
          <w:p w14:paraId="0C263251" w14:textId="4EA57AFD"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50 kA</w:t>
            </w:r>
          </w:p>
        </w:tc>
      </w:tr>
      <w:tr w:rsidR="009A4428" w:rsidRPr="00EE5E43" w14:paraId="0C263255" w14:textId="77777777" w:rsidTr="00D7115B">
        <w:tc>
          <w:tcPr>
            <w:tcW w:w="7357"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273"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D7115B">
        <w:tc>
          <w:tcPr>
            <w:tcW w:w="7357"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273"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D7115B">
        <w:tc>
          <w:tcPr>
            <w:tcW w:w="7357"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273" w:type="dxa"/>
          </w:tcPr>
          <w:p w14:paraId="0C26325A" w14:textId="60249389" w:rsidR="009A4428" w:rsidRPr="00EE5E43" w:rsidRDefault="00A963D0" w:rsidP="009A4428">
            <w:pPr>
              <w:spacing w:before="60"/>
              <w:jc w:val="both"/>
              <w:rPr>
                <w:rFonts w:ascii="Arial" w:hAnsi="Arial" w:cs="Arial"/>
                <w:noProof/>
              </w:rPr>
            </w:pPr>
            <w:r w:rsidRPr="000F1939">
              <w:rPr>
                <w:rFonts w:ascii="Arial" w:hAnsi="Arial" w:cs="Arial"/>
                <w:noProof/>
              </w:rPr>
              <w:t xml:space="preserve">Min. </w:t>
            </w:r>
            <w:r w:rsidR="009A4428" w:rsidRPr="00EE5E43">
              <w:rPr>
                <w:rFonts w:ascii="Arial" w:hAnsi="Arial" w:cs="Arial"/>
                <w:noProof/>
              </w:rPr>
              <w:t>IP2X</w:t>
            </w:r>
          </w:p>
        </w:tc>
      </w:tr>
      <w:tr w:rsidR="00D7115B" w:rsidRPr="00EE5E43" w14:paraId="6450DC10" w14:textId="77777777" w:rsidTr="00D7115B">
        <w:tc>
          <w:tcPr>
            <w:tcW w:w="7357" w:type="dxa"/>
          </w:tcPr>
          <w:p w14:paraId="0620B07D" w14:textId="55BDED0D" w:rsidR="00D7115B" w:rsidRPr="000F1939" w:rsidRDefault="00D7115B" w:rsidP="00D7115B">
            <w:pPr>
              <w:spacing w:before="60"/>
              <w:jc w:val="both"/>
              <w:rPr>
                <w:rFonts w:ascii="Arial" w:hAnsi="Arial" w:cs="Arial"/>
                <w:noProof/>
              </w:rPr>
            </w:pPr>
            <w:r w:rsidRPr="000F1939">
              <w:rPr>
                <w:rFonts w:ascii="Arial" w:hAnsi="Arial" w:cs="Arial"/>
                <w:noProof/>
              </w:rPr>
              <w:t>Stupeň krytí pojistkového pouzdra (podle ČSN EN 60529)</w:t>
            </w:r>
          </w:p>
        </w:tc>
        <w:tc>
          <w:tcPr>
            <w:tcW w:w="2273" w:type="dxa"/>
          </w:tcPr>
          <w:p w14:paraId="2F1F7178" w14:textId="0035C7BA" w:rsidR="00D7115B" w:rsidRPr="000F1939" w:rsidRDefault="00D7115B" w:rsidP="00D7115B">
            <w:pPr>
              <w:spacing w:before="60"/>
              <w:jc w:val="both"/>
              <w:rPr>
                <w:rFonts w:ascii="Arial" w:hAnsi="Arial" w:cs="Arial"/>
                <w:noProof/>
              </w:rPr>
            </w:pPr>
            <w:r w:rsidRPr="000F1939">
              <w:rPr>
                <w:rFonts w:ascii="Arial" w:hAnsi="Arial" w:cs="Arial"/>
                <w:noProof/>
              </w:rPr>
              <w:t>IP6X</w:t>
            </w:r>
          </w:p>
        </w:tc>
      </w:tr>
      <w:tr w:rsidR="00D7115B" w:rsidRPr="00EE5E43" w14:paraId="0C26325E" w14:textId="77777777" w:rsidTr="00D7115B">
        <w:tc>
          <w:tcPr>
            <w:tcW w:w="7357" w:type="dxa"/>
          </w:tcPr>
          <w:p w14:paraId="0C26325C" w14:textId="7453B6E5" w:rsidR="00D7115B" w:rsidRPr="00EE5E43" w:rsidRDefault="00D7115B" w:rsidP="00D7115B">
            <w:pPr>
              <w:spacing w:before="60"/>
              <w:jc w:val="both"/>
              <w:rPr>
                <w:rFonts w:ascii="Arial" w:hAnsi="Arial" w:cs="Arial"/>
                <w:noProof/>
              </w:rPr>
            </w:pPr>
            <w:r w:rsidRPr="00EE5E43">
              <w:rPr>
                <w:rFonts w:ascii="Arial" w:hAnsi="Arial" w:cs="Arial"/>
                <w:noProof/>
              </w:rPr>
              <w:t>Stupeň ochrany proti vnějším mech. nárazům (podle ČSN EN</w:t>
            </w:r>
            <w:r>
              <w:rPr>
                <w:rFonts w:ascii="Arial" w:hAnsi="Arial" w:cs="Arial"/>
                <w:noProof/>
              </w:rPr>
              <w:t xml:space="preserve"> </w:t>
            </w:r>
            <w:r w:rsidRPr="00EE5E43">
              <w:rPr>
                <w:rFonts w:ascii="Arial" w:hAnsi="Arial" w:cs="Arial"/>
                <w:noProof/>
              </w:rPr>
              <w:t>50102)</w:t>
            </w:r>
          </w:p>
        </w:tc>
        <w:tc>
          <w:tcPr>
            <w:tcW w:w="2273" w:type="dxa"/>
          </w:tcPr>
          <w:p w14:paraId="0C26325D" w14:textId="77777777" w:rsidR="00D7115B" w:rsidRPr="00EE5E43" w:rsidRDefault="00D7115B" w:rsidP="00D7115B">
            <w:pPr>
              <w:spacing w:before="60"/>
              <w:jc w:val="both"/>
              <w:rPr>
                <w:rFonts w:ascii="Arial" w:hAnsi="Arial" w:cs="Arial"/>
                <w:noProof/>
              </w:rPr>
            </w:pPr>
            <w:r w:rsidRPr="00EE5E43">
              <w:rPr>
                <w:rFonts w:ascii="Arial" w:hAnsi="Arial" w:cs="Arial"/>
                <w:noProof/>
              </w:rPr>
              <w:t>IK 07</w:t>
            </w:r>
          </w:p>
        </w:tc>
      </w:tr>
      <w:tr w:rsidR="00D7115B" w:rsidRPr="00EE5E43" w14:paraId="0C263261" w14:textId="77777777" w:rsidTr="00D7115B">
        <w:tc>
          <w:tcPr>
            <w:tcW w:w="7357" w:type="dxa"/>
          </w:tcPr>
          <w:p w14:paraId="0C26325F" w14:textId="77777777" w:rsidR="00D7115B" w:rsidRPr="00EE5E43" w:rsidRDefault="00D7115B" w:rsidP="00D7115B">
            <w:pPr>
              <w:spacing w:before="60"/>
              <w:jc w:val="both"/>
              <w:rPr>
                <w:rFonts w:ascii="Arial" w:hAnsi="Arial" w:cs="Arial"/>
                <w:noProof/>
              </w:rPr>
            </w:pPr>
            <w:r w:rsidRPr="00EE5E43">
              <w:rPr>
                <w:rFonts w:ascii="Arial" w:hAnsi="Arial" w:cs="Arial"/>
                <w:noProof/>
              </w:rPr>
              <w:t>Kategorie ztráty nepřerušenosti provozu</w:t>
            </w:r>
          </w:p>
        </w:tc>
        <w:tc>
          <w:tcPr>
            <w:tcW w:w="2273" w:type="dxa"/>
          </w:tcPr>
          <w:p w14:paraId="0C263260" w14:textId="77777777" w:rsidR="00D7115B" w:rsidRPr="00EE5E43" w:rsidRDefault="00D7115B" w:rsidP="00D7115B">
            <w:pPr>
              <w:spacing w:before="60"/>
              <w:jc w:val="both"/>
              <w:rPr>
                <w:rFonts w:ascii="Arial" w:hAnsi="Arial" w:cs="Arial"/>
                <w:noProof/>
              </w:rPr>
            </w:pPr>
            <w:r w:rsidRPr="00EE5E43">
              <w:rPr>
                <w:rFonts w:ascii="Arial" w:hAnsi="Arial" w:cs="Arial"/>
                <w:noProof/>
              </w:rPr>
              <w:t>LSC 2A</w:t>
            </w:r>
          </w:p>
        </w:tc>
      </w:tr>
      <w:tr w:rsidR="00D7115B" w:rsidRPr="00EE5E43" w14:paraId="0C263264" w14:textId="77777777" w:rsidTr="00D7115B">
        <w:tc>
          <w:tcPr>
            <w:tcW w:w="7357" w:type="dxa"/>
          </w:tcPr>
          <w:p w14:paraId="0C263262" w14:textId="77777777" w:rsidR="00D7115B" w:rsidRPr="00EE5E43" w:rsidRDefault="00D7115B" w:rsidP="00D7115B">
            <w:pPr>
              <w:spacing w:before="60"/>
              <w:jc w:val="both"/>
              <w:rPr>
                <w:rFonts w:ascii="Arial" w:hAnsi="Arial" w:cs="Arial"/>
                <w:noProof/>
              </w:rPr>
            </w:pPr>
            <w:r w:rsidRPr="00EE5E43">
              <w:rPr>
                <w:rFonts w:ascii="Arial" w:hAnsi="Arial" w:cs="Arial"/>
                <w:noProof/>
              </w:rPr>
              <w:t>Třída přepážek</w:t>
            </w:r>
          </w:p>
        </w:tc>
        <w:tc>
          <w:tcPr>
            <w:tcW w:w="2273" w:type="dxa"/>
          </w:tcPr>
          <w:p w14:paraId="0C263263" w14:textId="77777777" w:rsidR="00D7115B" w:rsidRPr="00EE5E43" w:rsidRDefault="00D7115B" w:rsidP="00D7115B">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5A9BBA0C"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 xml:space="preserve">ČSN EN </w:t>
      </w:r>
      <w:r w:rsidR="00DF20DA">
        <w:rPr>
          <w:rFonts w:ascii="Arial" w:hAnsi="Arial" w:cs="Arial"/>
          <w:noProof/>
        </w:rPr>
        <w:t xml:space="preserve">IEC </w:t>
      </w:r>
      <w:r w:rsidR="001F51F0" w:rsidRPr="00EE5E43">
        <w:rPr>
          <w:rFonts w:ascii="Arial" w:hAnsi="Arial" w:cs="Arial"/>
          <w:noProof/>
        </w:rPr>
        <w:t>62271-103</w:t>
      </w:r>
      <w:r w:rsidR="00DF20DA">
        <w:rPr>
          <w:rFonts w:ascii="Arial" w:hAnsi="Arial" w:cs="Arial"/>
          <w:noProof/>
        </w:rPr>
        <w:t>.</w:t>
      </w:r>
      <w:r w:rsidR="00C5297A" w:rsidRPr="00EE5E43">
        <w:rPr>
          <w:rFonts w:ascii="Arial" w:hAnsi="Arial" w:cs="Arial"/>
          <w:noProof/>
        </w:rPr>
        <w:t xml:space="preserve"> </w:t>
      </w:r>
    </w:p>
    <w:p w14:paraId="0C26326A" w14:textId="4A32DD7F"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49428137" w:rsidR="00FD021C" w:rsidRPr="00EE5E43" w:rsidRDefault="00FD021C" w:rsidP="00FD021C">
      <w:pPr>
        <w:spacing w:before="60" w:line="276" w:lineRule="auto"/>
        <w:jc w:val="both"/>
        <w:rPr>
          <w:rFonts w:ascii="Arial" w:hAnsi="Arial" w:cs="Arial"/>
          <w:noProof/>
        </w:rPr>
      </w:pPr>
      <w:r w:rsidRPr="00EE5E43">
        <w:rPr>
          <w:rFonts w:ascii="Arial" w:hAnsi="Arial" w:cs="Arial"/>
          <w:noProof/>
        </w:rPr>
        <w:t xml:space="preserve">Vypínač musí </w:t>
      </w:r>
      <w:r w:rsidRPr="00A1304C">
        <w:rPr>
          <w:rFonts w:ascii="Arial" w:hAnsi="Arial" w:cs="Arial"/>
          <w:noProof/>
        </w:rPr>
        <w:t>odpovídat ČSN EN 62271-100</w:t>
      </w:r>
      <w:r w:rsidR="00670878" w:rsidRPr="00A1304C">
        <w:rPr>
          <w:rFonts w:ascii="Arial" w:hAnsi="Arial" w:cs="Arial"/>
          <w:noProof/>
        </w:rPr>
        <w:t>.</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2A4A034B"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000E5F15">
        <w:rPr>
          <w:rFonts w:ascii="Arial" w:hAnsi="Arial" w:cs="Arial"/>
          <w:b/>
          <w:noProof/>
        </w:rPr>
        <w:t>, podélná spojka – značeno PS</w:t>
      </w:r>
      <w:r w:rsidR="00CF111F">
        <w:rPr>
          <w:rFonts w:ascii="Arial" w:hAnsi="Arial" w:cs="Arial"/>
          <w:b/>
          <w:noProof/>
        </w:rPr>
        <w:t xml:space="preserve"> (v případě, že pole podélné spojky </w:t>
      </w:r>
      <w:r w:rsidR="000821C7">
        <w:rPr>
          <w:rFonts w:ascii="Arial" w:hAnsi="Arial" w:cs="Arial"/>
          <w:b/>
          <w:noProof/>
        </w:rPr>
        <w:t>účastník</w:t>
      </w:r>
      <w:r w:rsidR="00CF111F">
        <w:rPr>
          <w:rFonts w:ascii="Arial" w:hAnsi="Arial" w:cs="Arial"/>
          <w:b/>
          <w:noProof/>
        </w:rPr>
        <w:t xml:space="preserve"> nabídne</w:t>
      </w:r>
      <w:r w:rsidRPr="00EE5E43">
        <w:rPr>
          <w:rFonts w:ascii="Arial" w:hAnsi="Arial" w:cs="Arial"/>
          <w:b/>
          <w:noProof/>
        </w:rPr>
        <w:t>)</w:t>
      </w:r>
      <w:r w:rsidR="00CF111F">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6"/>
        <w:gridCol w:w="1102"/>
        <w:gridCol w:w="2242"/>
      </w:tblGrid>
      <w:tr w:rsidR="000D552B" w:rsidRPr="00EE5E43" w14:paraId="0C263276" w14:textId="77777777" w:rsidTr="00DF20DA">
        <w:tc>
          <w:tcPr>
            <w:tcW w:w="963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DF20DA">
        <w:tc>
          <w:tcPr>
            <w:tcW w:w="7388"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242" w:type="dxa"/>
          </w:tcPr>
          <w:p w14:paraId="0C263278" w14:textId="2D918A20" w:rsidR="001344F0" w:rsidRPr="00EE5E43" w:rsidRDefault="009F61C6"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630 A</w:t>
            </w:r>
          </w:p>
        </w:tc>
      </w:tr>
      <w:tr w:rsidR="001344F0" w:rsidRPr="00EE5E43" w14:paraId="0C26327C" w14:textId="77777777" w:rsidTr="00DF20DA">
        <w:tc>
          <w:tcPr>
            <w:tcW w:w="7388" w:type="dxa"/>
            <w:gridSpan w:val="2"/>
          </w:tcPr>
          <w:p w14:paraId="0C26327A" w14:textId="27B07883" w:rsidR="001344F0" w:rsidRPr="00755139" w:rsidRDefault="001344F0" w:rsidP="003137CA">
            <w:pPr>
              <w:tabs>
                <w:tab w:val="left" w:pos="6096"/>
              </w:tabs>
              <w:spacing w:before="60"/>
              <w:jc w:val="both"/>
              <w:rPr>
                <w:rFonts w:ascii="Arial" w:hAnsi="Arial" w:cs="Arial"/>
                <w:noProof/>
              </w:rPr>
            </w:pPr>
            <w:r w:rsidRPr="00755139">
              <w:rPr>
                <w:rFonts w:ascii="Arial" w:hAnsi="Arial" w:cs="Arial"/>
                <w:noProof/>
              </w:rPr>
              <w:t>Jmenovitý krátkodobý</w:t>
            </w:r>
            <w:r w:rsidR="003137CA" w:rsidRPr="00755139">
              <w:rPr>
                <w:rFonts w:ascii="Arial" w:hAnsi="Arial" w:cs="Arial"/>
                <w:noProof/>
              </w:rPr>
              <w:t xml:space="preserve"> výdržný proud</w:t>
            </w:r>
            <w:r w:rsidR="007952CE" w:rsidRPr="000F1939">
              <w:rPr>
                <w:rFonts w:ascii="Arial" w:hAnsi="Arial" w:cs="Arial"/>
                <w:noProof/>
              </w:rPr>
              <w:t>/</w:t>
            </w:r>
            <w:r w:rsidR="00571447" w:rsidRPr="000F1939">
              <w:rPr>
                <w:rFonts w:ascii="Arial" w:hAnsi="Arial" w:cs="Arial"/>
                <w:noProof/>
              </w:rPr>
              <w:t xml:space="preserve">jmen. doba zkratu                     </w:t>
            </w:r>
            <w:r w:rsidR="003137CA" w:rsidRPr="00755139">
              <w:rPr>
                <w:rFonts w:ascii="Arial" w:hAnsi="Arial" w:cs="Arial"/>
                <w:noProof/>
              </w:rPr>
              <w:tab/>
            </w:r>
            <w:r w:rsidRPr="00755139">
              <w:rPr>
                <w:rFonts w:ascii="Arial" w:hAnsi="Arial" w:cs="Arial"/>
                <w:noProof/>
              </w:rPr>
              <w:t>Ik</w:t>
            </w:r>
            <w:r w:rsidR="00C009A9" w:rsidRPr="000F1939">
              <w:rPr>
                <w:rFonts w:ascii="Arial" w:hAnsi="Arial" w:cs="Arial"/>
                <w:noProof/>
              </w:rPr>
              <w:t>/t</w:t>
            </w:r>
            <w:r w:rsidR="00C009A9" w:rsidRPr="000F1939">
              <w:rPr>
                <w:rFonts w:ascii="Arial" w:hAnsi="Arial" w:cs="Arial"/>
                <w:noProof/>
                <w:vertAlign w:val="subscript"/>
              </w:rPr>
              <w:t>k</w:t>
            </w:r>
          </w:p>
        </w:tc>
        <w:tc>
          <w:tcPr>
            <w:tcW w:w="2242" w:type="dxa"/>
          </w:tcPr>
          <w:p w14:paraId="0C26327B" w14:textId="71400896" w:rsidR="001344F0" w:rsidRPr="00755139" w:rsidRDefault="006134B3" w:rsidP="001344F0">
            <w:pPr>
              <w:spacing w:before="60"/>
              <w:jc w:val="both"/>
              <w:rPr>
                <w:rFonts w:ascii="Arial" w:hAnsi="Arial" w:cs="Arial"/>
                <w:noProof/>
              </w:rPr>
            </w:pPr>
            <w:r w:rsidRPr="00195023">
              <w:rPr>
                <w:rFonts w:ascii="Arial" w:hAnsi="Arial" w:cs="Arial"/>
                <w:noProof/>
              </w:rPr>
              <w:t xml:space="preserve">Min. </w:t>
            </w:r>
            <w:r w:rsidR="001344F0" w:rsidRPr="00755139">
              <w:rPr>
                <w:rFonts w:ascii="Arial" w:hAnsi="Arial" w:cs="Arial"/>
                <w:noProof/>
              </w:rPr>
              <w:t>20 kA</w:t>
            </w:r>
            <w:r w:rsidR="007952CE" w:rsidRPr="00755139">
              <w:rPr>
                <w:rFonts w:ascii="Arial" w:hAnsi="Arial" w:cs="Arial"/>
                <w:noProof/>
              </w:rPr>
              <w:t xml:space="preserve"> </w:t>
            </w:r>
            <w:r w:rsidR="007952CE" w:rsidRPr="000F1939">
              <w:rPr>
                <w:rFonts w:ascii="Arial" w:hAnsi="Arial" w:cs="Arial"/>
                <w:noProof/>
              </w:rPr>
              <w:t>/ 1s</w:t>
            </w:r>
          </w:p>
        </w:tc>
      </w:tr>
      <w:tr w:rsidR="001344F0" w:rsidRPr="00EE5E43" w14:paraId="0C26327F" w14:textId="77777777" w:rsidTr="00DF20DA">
        <w:tc>
          <w:tcPr>
            <w:tcW w:w="7388"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242" w:type="dxa"/>
          </w:tcPr>
          <w:p w14:paraId="0C26327E" w14:textId="3ADFEC88"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2" w14:textId="77777777" w:rsidTr="00DF20DA">
        <w:tc>
          <w:tcPr>
            <w:tcW w:w="7388"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242" w:type="dxa"/>
          </w:tcPr>
          <w:p w14:paraId="0C263281" w14:textId="13464754"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4" w14:textId="77777777" w:rsidTr="00DF20DA">
        <w:tc>
          <w:tcPr>
            <w:tcW w:w="963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6E132E" w:rsidRPr="00EE5E43" w14:paraId="5422A31D" w14:textId="77777777" w:rsidTr="00782EBA">
        <w:tc>
          <w:tcPr>
            <w:tcW w:w="7388" w:type="dxa"/>
            <w:gridSpan w:val="2"/>
          </w:tcPr>
          <w:p w14:paraId="7A298898" w14:textId="08E81A8A"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při převážně činné zátěži</w:t>
            </w:r>
            <w:r w:rsidRPr="00EE5E43">
              <w:rPr>
                <w:rFonts w:ascii="Arial" w:hAnsi="Arial" w:cs="Arial"/>
                <w:noProof/>
              </w:rPr>
              <w:tab/>
              <w:t>I</w:t>
            </w:r>
            <w:r w:rsidRPr="006E132E">
              <w:rPr>
                <w:rFonts w:ascii="Arial" w:hAnsi="Arial" w:cs="Arial"/>
                <w:noProof/>
                <w:vertAlign w:val="subscript"/>
              </w:rPr>
              <w:t>load</w:t>
            </w:r>
          </w:p>
        </w:tc>
        <w:tc>
          <w:tcPr>
            <w:tcW w:w="2242" w:type="dxa"/>
          </w:tcPr>
          <w:p w14:paraId="266A393D" w14:textId="4B04C41C"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4804F9D" w14:textId="77777777" w:rsidTr="00782EBA">
        <w:tc>
          <w:tcPr>
            <w:tcW w:w="7388" w:type="dxa"/>
            <w:gridSpan w:val="2"/>
          </w:tcPr>
          <w:p w14:paraId="4FD87417" w14:textId="0311D1EF"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obvodu uzavřené smyčky</w:t>
            </w:r>
            <w:r w:rsidRPr="00EE5E43">
              <w:rPr>
                <w:rFonts w:ascii="Arial" w:hAnsi="Arial" w:cs="Arial"/>
                <w:noProof/>
              </w:rPr>
              <w:tab/>
              <w:t>I</w:t>
            </w:r>
            <w:r>
              <w:rPr>
                <w:rFonts w:ascii="Arial" w:hAnsi="Arial" w:cs="Arial"/>
                <w:noProof/>
                <w:vertAlign w:val="subscript"/>
              </w:rPr>
              <w:t xml:space="preserve">loop; </w:t>
            </w:r>
            <w:r w:rsidRPr="00EE5E43">
              <w:rPr>
                <w:rFonts w:ascii="Arial" w:hAnsi="Arial" w:cs="Arial"/>
                <w:noProof/>
              </w:rPr>
              <w:t>I</w:t>
            </w:r>
            <w:r w:rsidRPr="006E132E">
              <w:rPr>
                <w:rFonts w:ascii="Arial" w:hAnsi="Arial" w:cs="Arial"/>
                <w:noProof/>
                <w:vertAlign w:val="subscript"/>
              </w:rPr>
              <w:t>pptr</w:t>
            </w:r>
          </w:p>
        </w:tc>
        <w:tc>
          <w:tcPr>
            <w:tcW w:w="2242" w:type="dxa"/>
          </w:tcPr>
          <w:p w14:paraId="3DEA670E" w14:textId="738C4682"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C413195" w14:textId="77777777" w:rsidTr="006E132E">
        <w:tc>
          <w:tcPr>
            <w:tcW w:w="7388" w:type="dxa"/>
            <w:gridSpan w:val="2"/>
          </w:tcPr>
          <w:p w14:paraId="4A74F3B1" w14:textId="56AD178C"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w:t>
            </w:r>
            <w:r w:rsidRPr="00EE5E43">
              <w:rPr>
                <w:rFonts w:ascii="Arial" w:hAnsi="Arial" w:cs="Arial"/>
                <w:noProof/>
              </w:rPr>
              <w:tab/>
              <w:t>I</w:t>
            </w:r>
            <w:r>
              <w:rPr>
                <w:rFonts w:ascii="Arial" w:hAnsi="Arial" w:cs="Arial"/>
                <w:noProof/>
                <w:vertAlign w:val="subscript"/>
              </w:rPr>
              <w:t>cc</w:t>
            </w:r>
          </w:p>
        </w:tc>
        <w:tc>
          <w:tcPr>
            <w:tcW w:w="2242" w:type="dxa"/>
          </w:tcPr>
          <w:p w14:paraId="03B5B083" w14:textId="20C16513"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60</w:t>
            </w:r>
            <w:r w:rsidR="006E132E" w:rsidRPr="00EE5E43">
              <w:rPr>
                <w:rFonts w:ascii="Arial" w:hAnsi="Arial" w:cs="Arial"/>
                <w:noProof/>
              </w:rPr>
              <w:t xml:space="preserve"> A</w:t>
            </w:r>
          </w:p>
        </w:tc>
      </w:tr>
      <w:tr w:rsidR="006E132E" w:rsidRPr="00EE5E43" w14:paraId="50F027F4" w14:textId="77777777" w:rsidTr="006E132E">
        <w:tc>
          <w:tcPr>
            <w:tcW w:w="7388" w:type="dxa"/>
            <w:gridSpan w:val="2"/>
          </w:tcPr>
          <w:p w14:paraId="1C18107A" w14:textId="01F2A7C5"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zemního spojení</w:t>
            </w:r>
            <w:r w:rsidRPr="00EE5E43">
              <w:rPr>
                <w:rFonts w:ascii="Arial" w:hAnsi="Arial" w:cs="Arial"/>
                <w:noProof/>
              </w:rPr>
              <w:tab/>
              <w:t>I</w:t>
            </w:r>
            <w:r w:rsidRPr="006E132E">
              <w:rPr>
                <w:rFonts w:ascii="Arial" w:hAnsi="Arial" w:cs="Arial"/>
                <w:noProof/>
                <w:vertAlign w:val="subscript"/>
              </w:rPr>
              <w:t>ef1</w:t>
            </w:r>
          </w:p>
        </w:tc>
        <w:tc>
          <w:tcPr>
            <w:tcW w:w="2242" w:type="dxa"/>
          </w:tcPr>
          <w:p w14:paraId="623CC8CC" w14:textId="1405F516"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160</w:t>
            </w:r>
            <w:r w:rsidR="006E132E" w:rsidRPr="00EE5E43">
              <w:rPr>
                <w:rFonts w:ascii="Arial" w:hAnsi="Arial" w:cs="Arial"/>
                <w:noProof/>
              </w:rPr>
              <w:t xml:space="preserve"> A</w:t>
            </w:r>
          </w:p>
        </w:tc>
      </w:tr>
      <w:tr w:rsidR="006E132E" w:rsidRPr="00EE5E43" w14:paraId="78D54FD9" w14:textId="77777777" w:rsidTr="006E132E">
        <w:tc>
          <w:tcPr>
            <w:tcW w:w="7388" w:type="dxa"/>
            <w:gridSpan w:val="2"/>
          </w:tcPr>
          <w:p w14:paraId="50294F64" w14:textId="5D348CBD"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 a venkovního vedení v podmínkách zemního spojení</w:t>
            </w:r>
            <w:r w:rsidRPr="00EE5E43">
              <w:rPr>
                <w:rFonts w:ascii="Arial" w:hAnsi="Arial" w:cs="Arial"/>
                <w:noProof/>
              </w:rPr>
              <w:tab/>
              <w:t>I</w:t>
            </w:r>
            <w:r w:rsidRPr="006E132E">
              <w:rPr>
                <w:rFonts w:ascii="Arial" w:hAnsi="Arial" w:cs="Arial"/>
                <w:noProof/>
                <w:vertAlign w:val="subscript"/>
              </w:rPr>
              <w:t>ef</w:t>
            </w:r>
            <w:r>
              <w:rPr>
                <w:rFonts w:ascii="Arial" w:hAnsi="Arial" w:cs="Arial"/>
                <w:noProof/>
                <w:vertAlign w:val="subscript"/>
              </w:rPr>
              <w:t>2</w:t>
            </w:r>
          </w:p>
        </w:tc>
        <w:tc>
          <w:tcPr>
            <w:tcW w:w="2242" w:type="dxa"/>
          </w:tcPr>
          <w:p w14:paraId="5BD79754" w14:textId="15A8FBE4"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100</w:t>
            </w:r>
            <w:r w:rsidR="006E132E" w:rsidRPr="00EE5E43">
              <w:rPr>
                <w:rFonts w:ascii="Arial" w:hAnsi="Arial" w:cs="Arial"/>
                <w:noProof/>
              </w:rPr>
              <w:t xml:space="preserve"> A</w:t>
            </w:r>
          </w:p>
        </w:tc>
      </w:tr>
      <w:tr w:rsidR="001344F0" w:rsidRPr="00EE5E43" w14:paraId="0C263287" w14:textId="77777777" w:rsidTr="00DF20DA">
        <w:tc>
          <w:tcPr>
            <w:tcW w:w="6286"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344" w:type="dxa"/>
            <w:gridSpan w:val="2"/>
          </w:tcPr>
          <w:p w14:paraId="0C263286" w14:textId="105A9B95" w:rsidR="001344F0" w:rsidRPr="00EE5E43" w:rsidRDefault="003137CA" w:rsidP="001344F0">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344F0" w:rsidRPr="00EE5E43" w14:paraId="0C26328B" w14:textId="77777777" w:rsidTr="00DF20DA">
        <w:tc>
          <w:tcPr>
            <w:tcW w:w="6286"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344" w:type="dxa"/>
            <w:gridSpan w:val="2"/>
          </w:tcPr>
          <w:p w14:paraId="0C263289" w14:textId="305FB692" w:rsidR="001344F0" w:rsidRPr="00EE5E43" w:rsidRDefault="003137CA" w:rsidP="0015693A">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8A" w14:textId="7BE9EAD7" w:rsidR="003137CA" w:rsidRPr="00EE5E43" w:rsidRDefault="003137CA" w:rsidP="0015693A">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0D552B" w:rsidRPr="00EE5E43" w14:paraId="0C26328F" w14:textId="77777777" w:rsidTr="00DF20DA">
        <w:tc>
          <w:tcPr>
            <w:tcW w:w="963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DF20DA">
        <w:tc>
          <w:tcPr>
            <w:tcW w:w="7388"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42" w:type="dxa"/>
          </w:tcPr>
          <w:p w14:paraId="0C263291" w14:textId="6323C9DF"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20 kA</w:t>
            </w:r>
          </w:p>
        </w:tc>
      </w:tr>
      <w:tr w:rsidR="001344F0" w:rsidRPr="00EE5E43" w14:paraId="0C263295" w14:textId="77777777" w:rsidTr="00DF20DA">
        <w:tc>
          <w:tcPr>
            <w:tcW w:w="7388"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42" w:type="dxa"/>
          </w:tcPr>
          <w:p w14:paraId="0C263294" w14:textId="31F48F99"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50 kA</w:t>
            </w:r>
          </w:p>
        </w:tc>
      </w:tr>
      <w:tr w:rsidR="000D552B" w:rsidRPr="00EE5E43" w14:paraId="0C263297" w14:textId="77777777" w:rsidTr="00DF20DA">
        <w:tc>
          <w:tcPr>
            <w:tcW w:w="963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DF20DA" w:rsidRPr="00EE5E43" w14:paraId="0C26329A" w14:textId="77777777" w:rsidTr="00DF20DA">
        <w:tc>
          <w:tcPr>
            <w:tcW w:w="6286" w:type="dxa"/>
          </w:tcPr>
          <w:p w14:paraId="0C263298" w14:textId="580AA3C6" w:rsidR="00DF20DA" w:rsidRPr="00EE5E43" w:rsidRDefault="00DF20DA" w:rsidP="00DF20DA">
            <w:pPr>
              <w:tabs>
                <w:tab w:val="left" w:pos="4710"/>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Pr>
                <w:rFonts w:ascii="Arial" w:hAnsi="Arial" w:cs="Arial"/>
                <w:noProof/>
              </w:rPr>
              <w:t>0</w:t>
            </w:r>
          </w:p>
        </w:tc>
        <w:tc>
          <w:tcPr>
            <w:tcW w:w="3344" w:type="dxa"/>
            <w:gridSpan w:val="2"/>
          </w:tcPr>
          <w:p w14:paraId="0C263299" w14:textId="38EDDFB6"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DF20DA" w:rsidRPr="00EE5E43" w14:paraId="0C26329D" w14:textId="77777777" w:rsidTr="00DF20DA">
        <w:tc>
          <w:tcPr>
            <w:tcW w:w="6286" w:type="dxa"/>
          </w:tcPr>
          <w:p w14:paraId="0C26329B" w14:textId="723170C9" w:rsidR="00DF20DA" w:rsidRPr="00EE5E43" w:rsidRDefault="00DF20DA" w:rsidP="00DF20D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Pr="000E5F15">
              <w:rPr>
                <w:rFonts w:ascii="Arial" w:hAnsi="Arial" w:cs="Arial"/>
                <w:noProof/>
              </w:rPr>
              <w:t>třída E</w:t>
            </w:r>
            <w:r w:rsidR="00750FB9" w:rsidRPr="000E5F15">
              <w:rPr>
                <w:rFonts w:ascii="Arial" w:hAnsi="Arial" w:cs="Arial"/>
                <w:noProof/>
              </w:rPr>
              <w:t>2</w:t>
            </w:r>
          </w:p>
        </w:tc>
        <w:tc>
          <w:tcPr>
            <w:tcW w:w="3344" w:type="dxa"/>
            <w:gridSpan w:val="2"/>
          </w:tcPr>
          <w:p w14:paraId="0F2F131A" w14:textId="4917AC5F" w:rsidR="00E608A9" w:rsidRPr="00E608A9" w:rsidRDefault="00E608A9" w:rsidP="00E608A9">
            <w:pPr>
              <w:spacing w:before="60"/>
              <w:jc w:val="both"/>
              <w:rPr>
                <w:rFonts w:ascii="Arial" w:hAnsi="Arial" w:cs="Arial"/>
                <w:noProof/>
              </w:rPr>
            </w:pPr>
            <w:r w:rsidRPr="00A17BF6">
              <w:rPr>
                <w:rFonts w:ascii="Arial" w:hAnsi="Arial" w:cs="Arial"/>
                <w:noProof/>
              </w:rPr>
              <w:t>Počet spínacích cyklů při Ir:  Min. 100</w:t>
            </w:r>
          </w:p>
          <w:p w14:paraId="0C26329C" w14:textId="5124E341"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29071E45" w:rsidR="001547CD" w:rsidRPr="00EE5E43" w:rsidRDefault="00EB58BE" w:rsidP="0076458E">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2CB018E" w:rsidR="001547CD" w:rsidRPr="00EE5E43" w:rsidRDefault="006134B3" w:rsidP="001547CD">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0530716F"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3F0EB37F"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B6" w14:textId="4D374C7B"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26D957D4"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w:t>
            </w:r>
            <w:r w:rsidR="000E5F15">
              <w:rPr>
                <w:rFonts w:ascii="Arial" w:hAnsi="Arial" w:cs="Arial"/>
                <w:noProof/>
              </w:rPr>
              <w:t>0</w:t>
            </w:r>
            <w:r w:rsidR="00842AEF" w:rsidRPr="00EE5E43">
              <w:rPr>
                <w:rFonts w:ascii="Arial" w:hAnsi="Arial" w:cs="Arial"/>
                <w:noProof/>
              </w:rPr>
              <w:t>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lastRenderedPageBreak/>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3A5F016C"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571447" w:rsidRPr="00910488">
              <w:rPr>
                <w:rFonts w:ascii="Arial" w:hAnsi="Arial" w:cs="Arial"/>
                <w:noProof/>
              </w:rPr>
              <w:t xml:space="preserve">                  </w:t>
            </w:r>
            <w:r w:rsidR="00571447" w:rsidRPr="0043592F">
              <w:rPr>
                <w:rFonts w:ascii="Arial" w:hAnsi="Arial" w:cs="Arial"/>
                <w:noProof/>
              </w:rPr>
              <w:t>třída M0</w:t>
            </w:r>
          </w:p>
        </w:tc>
        <w:tc>
          <w:tcPr>
            <w:tcW w:w="3435" w:type="dxa"/>
            <w:gridSpan w:val="2"/>
          </w:tcPr>
          <w:p w14:paraId="0C2632C8" w14:textId="7670D2F7"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CC" w14:textId="77777777" w:rsidTr="00DB3590">
        <w:tc>
          <w:tcPr>
            <w:tcW w:w="6345" w:type="dxa"/>
            <w:gridSpan w:val="2"/>
          </w:tcPr>
          <w:p w14:paraId="0C2632CA" w14:textId="2AB0500E"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0C2632CB" w14:textId="1B9AA8DB"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00F946D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00571447">
              <w:rPr>
                <w:rFonts w:ascii="Arial" w:hAnsi="Arial" w:cs="Arial"/>
                <w:noProof/>
              </w:rPr>
              <w:t xml:space="preserve">                                  </w:t>
            </w:r>
            <w:r w:rsidR="00571447" w:rsidRPr="0043592F">
              <w:rPr>
                <w:rFonts w:ascii="Arial" w:hAnsi="Arial" w:cs="Arial"/>
                <w:noProof/>
              </w:rPr>
              <w:t>třída M0</w:t>
            </w:r>
          </w:p>
        </w:tc>
        <w:tc>
          <w:tcPr>
            <w:tcW w:w="3435" w:type="dxa"/>
            <w:gridSpan w:val="2"/>
          </w:tcPr>
          <w:p w14:paraId="0C2632D8" w14:textId="16047AB6"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7C7945" w:rsidRPr="00EE5E43" w14:paraId="0C2632DC" w14:textId="77777777" w:rsidTr="00DB3590">
        <w:tc>
          <w:tcPr>
            <w:tcW w:w="6345" w:type="dxa"/>
            <w:gridSpan w:val="2"/>
          </w:tcPr>
          <w:p w14:paraId="0C2632DA" w14:textId="61B23BB2"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1723A476" w14:textId="58D84943" w:rsidR="009F1B82" w:rsidRPr="009F1B82" w:rsidRDefault="009F1B82" w:rsidP="00A17BF6">
            <w:pPr>
              <w:jc w:val="both"/>
              <w:rPr>
                <w:rFonts w:ascii="Arial" w:hAnsi="Arial" w:cs="Arial"/>
                <w:noProof/>
              </w:rPr>
            </w:pPr>
            <w:r w:rsidRPr="00A17BF6">
              <w:rPr>
                <w:rFonts w:ascii="Arial" w:hAnsi="Arial" w:cs="Arial"/>
                <w:noProof/>
              </w:rPr>
              <w:t>Počet spínacích cyklů při Ir:  Min. 100</w:t>
            </w:r>
          </w:p>
          <w:p w14:paraId="0C2632DB" w14:textId="596F1FCB"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067C361C"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w:t>
            </w:r>
            <w:r w:rsidR="000E5F15">
              <w:rPr>
                <w:rFonts w:ascii="Arial" w:hAnsi="Arial" w:cs="Arial"/>
                <w:noProof/>
              </w:rPr>
              <w:t>6</w:t>
            </w:r>
            <w:r w:rsidRPr="00EE5E43">
              <w:rPr>
                <w:rFonts w:ascii="Arial" w:hAnsi="Arial" w:cs="Arial"/>
                <w:noProof/>
              </w:rPr>
              <w:t>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835FE0C"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w:t>
      </w:r>
      <w:r w:rsidR="000E5F15">
        <w:rPr>
          <w:rFonts w:ascii="Arial" w:hAnsi="Arial" w:cs="Arial"/>
          <w:noProof/>
        </w:rPr>
        <w:t>0</w:t>
      </w:r>
      <w:r w:rsidRPr="00EE5E43">
        <w:rPr>
          <w:rFonts w:ascii="Arial" w:hAnsi="Arial" w:cs="Arial"/>
          <w:noProof/>
        </w:rPr>
        <w:t>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4FE270FA" w:rsidR="00FD021C" w:rsidRPr="00EE5E43" w:rsidRDefault="00993D67"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63D71051"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4709C13E"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1D471AD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32B9A2E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10" w14:textId="77777777" w:rsidTr="004F7D63">
        <w:tc>
          <w:tcPr>
            <w:tcW w:w="7379" w:type="dxa"/>
            <w:gridSpan w:val="2"/>
          </w:tcPr>
          <w:p w14:paraId="0C26330E" w14:textId="6AB2E3D9"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vypínací proud kabelu                                 Ic</w:t>
            </w:r>
          </w:p>
        </w:tc>
        <w:tc>
          <w:tcPr>
            <w:tcW w:w="2251" w:type="dxa"/>
          </w:tcPr>
          <w:p w14:paraId="0C26330F" w14:textId="1E589F9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12" w14:textId="77777777" w:rsidTr="004F7D63">
        <w:tc>
          <w:tcPr>
            <w:tcW w:w="9630" w:type="dxa"/>
            <w:gridSpan w:val="3"/>
          </w:tcPr>
          <w:p w14:paraId="0C263311" w14:textId="091E184C"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w:t>
            </w:r>
            <w:r w:rsidR="000E5F15">
              <w:rPr>
                <w:rFonts w:ascii="Arial" w:hAnsi="Arial" w:cs="Arial"/>
                <w:noProof/>
              </w:rPr>
              <w:t>3</w:t>
            </w:r>
          </w:p>
        </w:tc>
      </w:tr>
      <w:tr w:rsidR="00FD021C" w:rsidRPr="00EE5E43" w14:paraId="0C263315" w14:textId="77777777" w:rsidTr="004F7D63">
        <w:tc>
          <w:tcPr>
            <w:tcW w:w="6287" w:type="dxa"/>
          </w:tcPr>
          <w:p w14:paraId="0C263313" w14:textId="07212E10"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2665DB">
              <w:rPr>
                <w:rFonts w:ascii="Arial" w:hAnsi="Arial" w:cs="Arial"/>
                <w:noProof/>
              </w:rPr>
              <w:t>1</w:t>
            </w:r>
          </w:p>
        </w:tc>
        <w:tc>
          <w:tcPr>
            <w:tcW w:w="3343" w:type="dxa"/>
            <w:gridSpan w:val="2"/>
          </w:tcPr>
          <w:p w14:paraId="0C263314" w14:textId="0A3FCF66"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4F53E800"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0E5F15">
              <w:rPr>
                <w:rFonts w:ascii="Arial" w:hAnsi="Arial" w:cs="Arial"/>
                <w:noProof/>
              </w:rPr>
              <w:t>3</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4640C01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0,3 s – CO </w:t>
            </w:r>
            <w:r w:rsidRPr="0043592F">
              <w:rPr>
                <w:rFonts w:ascii="Arial" w:hAnsi="Arial" w:cs="Arial"/>
                <w:noProof/>
              </w:rPr>
              <w:t xml:space="preserve">– </w:t>
            </w:r>
            <w:r w:rsidR="00A963D0" w:rsidRPr="0043592F">
              <w:rPr>
                <w:rFonts w:ascii="Arial" w:hAnsi="Arial" w:cs="Arial"/>
                <w:noProof/>
              </w:rPr>
              <w:t>15 s</w:t>
            </w:r>
            <w:r w:rsidRPr="0043592F">
              <w:rPr>
                <w:rFonts w:ascii="Arial" w:hAnsi="Arial" w:cs="Arial"/>
                <w:noProof/>
              </w:rPr>
              <w:t xml:space="preserve"> - </w:t>
            </w:r>
            <w:r w:rsidRPr="00EE5E43">
              <w:rPr>
                <w:rFonts w:ascii="Arial" w:hAnsi="Arial" w:cs="Arial"/>
                <w:noProof/>
              </w:rPr>
              <w:t>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5A451E2F"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3ED3196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107E7EE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31BB17E9"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16E00B5A"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49575828"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8A5AFA" w:rsidRPr="00EE5E43" w14:paraId="0C26333A" w14:textId="77777777" w:rsidTr="004F7D63">
        <w:tc>
          <w:tcPr>
            <w:tcW w:w="7379" w:type="dxa"/>
            <w:gridSpan w:val="2"/>
          </w:tcPr>
          <w:p w14:paraId="0C263338" w14:textId="587AD0F1" w:rsidR="008A5AFA" w:rsidRPr="00EE5E43" w:rsidRDefault="008A5AFA" w:rsidP="008A5AFA">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786A12">
              <w:rPr>
                <w:rFonts w:ascii="Arial" w:hAnsi="Arial" w:cs="Arial"/>
                <w:noProof/>
              </w:rPr>
              <w:t>třída M</w:t>
            </w:r>
            <w:r w:rsidR="00ED4ED4" w:rsidRPr="0043592F">
              <w:rPr>
                <w:rFonts w:ascii="Arial" w:hAnsi="Arial" w:cs="Arial"/>
                <w:noProof/>
              </w:rPr>
              <w:t>0</w:t>
            </w:r>
          </w:p>
        </w:tc>
        <w:tc>
          <w:tcPr>
            <w:tcW w:w="2251" w:type="dxa"/>
          </w:tcPr>
          <w:p w14:paraId="0C263339" w14:textId="42D3D898" w:rsidR="008A5AFA" w:rsidRPr="00EE5E43" w:rsidRDefault="008A5AFA" w:rsidP="008A5AFA">
            <w:pPr>
              <w:spacing w:before="60"/>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3D" w14:textId="77777777" w:rsidTr="004F7D63">
        <w:tc>
          <w:tcPr>
            <w:tcW w:w="7379" w:type="dxa"/>
            <w:gridSpan w:val="2"/>
          </w:tcPr>
          <w:p w14:paraId="0C26333B" w14:textId="15577FB8"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3C" w14:textId="35588A22"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786A12" w:rsidRPr="00195023">
              <w:rPr>
                <w:rFonts w:ascii="Arial" w:hAnsi="Arial" w:cs="Arial"/>
                <w:noProof/>
              </w:rPr>
              <w:t xml:space="preserve">Min. </w:t>
            </w:r>
            <w:r w:rsidRPr="00EE5E43">
              <w:rPr>
                <w:rFonts w:ascii="Arial" w:hAnsi="Arial" w:cs="Arial"/>
                <w:noProof/>
              </w:rPr>
              <w:t>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51FE8673" w:rsidR="00FD021C" w:rsidRPr="00EE5E43" w:rsidRDefault="00245A50"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53D5DAB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5383FF44"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057D15DC"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3B6AE26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C" w14:textId="77777777" w:rsidTr="004F7D63">
        <w:tc>
          <w:tcPr>
            <w:tcW w:w="7379" w:type="dxa"/>
            <w:gridSpan w:val="2"/>
          </w:tcPr>
          <w:p w14:paraId="0C26335A" w14:textId="6BDBE734" w:rsidR="00FD021C" w:rsidRPr="00EE5E43" w:rsidRDefault="00FD021C" w:rsidP="008A5AFA">
            <w:pPr>
              <w:tabs>
                <w:tab w:val="left" w:pos="6096"/>
              </w:tabs>
              <w:spacing w:before="60" w:line="276" w:lineRule="auto"/>
              <w:jc w:val="both"/>
              <w:rPr>
                <w:rFonts w:ascii="Arial" w:hAnsi="Arial" w:cs="Arial"/>
                <w:noProof/>
              </w:rPr>
            </w:pPr>
            <w:r w:rsidRPr="00EE5E43">
              <w:rPr>
                <w:rFonts w:ascii="Arial" w:hAnsi="Arial" w:cs="Arial"/>
                <w:noProof/>
              </w:rPr>
              <w:t xml:space="preserve">Jmenovitý vypínací proud kabelu                                </w:t>
            </w:r>
            <w:r w:rsidR="008A5AFA">
              <w:rPr>
                <w:rFonts w:ascii="Arial" w:hAnsi="Arial" w:cs="Arial"/>
                <w:noProof/>
              </w:rPr>
              <w:t xml:space="preserve">          </w:t>
            </w:r>
            <w:r w:rsidRPr="00EE5E43">
              <w:rPr>
                <w:rFonts w:ascii="Arial" w:hAnsi="Arial" w:cs="Arial"/>
                <w:noProof/>
              </w:rPr>
              <w:t xml:space="preserve"> Ic</w:t>
            </w:r>
          </w:p>
        </w:tc>
        <w:tc>
          <w:tcPr>
            <w:tcW w:w="2251" w:type="dxa"/>
          </w:tcPr>
          <w:p w14:paraId="0C26335B" w14:textId="66230031"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652445E0"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45A50" w:rsidRPr="00195023">
              <w:rPr>
                <w:rFonts w:ascii="Arial" w:hAnsi="Arial" w:cs="Arial"/>
                <w:noProof/>
              </w:rPr>
              <w:t xml:space="preserve">Min.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199A26C1"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8A5AFA">
              <w:rPr>
                <w:rFonts w:ascii="Arial" w:hAnsi="Arial" w:cs="Arial"/>
                <w:noProof/>
              </w:rPr>
              <w:t>3</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1185BF3D" w:rsidR="00FD021C" w:rsidRPr="00EE5E43" w:rsidRDefault="00207079"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5B810642"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6A159517"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6A003F5E"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8A5AFA">
              <w:rPr>
                <w:rFonts w:ascii="Arial" w:hAnsi="Arial" w:cs="Arial"/>
                <w:noProof/>
              </w:rPr>
              <w:t>1</w:t>
            </w:r>
          </w:p>
        </w:tc>
        <w:tc>
          <w:tcPr>
            <w:tcW w:w="3343" w:type="dxa"/>
            <w:gridSpan w:val="2"/>
          </w:tcPr>
          <w:p w14:paraId="0C263378" w14:textId="537623C6"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r w:rsidR="008A5AFA">
              <w:rPr>
                <w:rFonts w:ascii="Arial" w:hAnsi="Arial" w:cs="Arial"/>
                <w:noProof/>
              </w:rPr>
              <w:t>2</w:t>
            </w:r>
            <w:r w:rsidRPr="00EE5E43">
              <w:rPr>
                <w:rFonts w:ascii="Arial" w:hAnsi="Arial" w:cs="Arial"/>
                <w:noProof/>
              </w:rPr>
              <w:t>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64E6C2BA"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425177EE"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463091B0" w:rsidR="00FD021C" w:rsidRPr="00EE5E43" w:rsidRDefault="008A5AFA"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ED4ED4">
              <w:rPr>
                <w:rFonts w:ascii="Arial" w:hAnsi="Arial" w:cs="Arial"/>
                <w:noProof/>
              </w:rPr>
              <w:t>0</w:t>
            </w:r>
            <w:r w:rsidR="00FD021C" w:rsidRPr="00EE5E43">
              <w:rPr>
                <w:rFonts w:ascii="Arial" w:hAnsi="Arial" w:cs="Arial"/>
                <w:noProof/>
              </w:rPr>
              <w:tab/>
            </w:r>
          </w:p>
        </w:tc>
        <w:tc>
          <w:tcPr>
            <w:tcW w:w="2251" w:type="dxa"/>
          </w:tcPr>
          <w:p w14:paraId="0C263385" w14:textId="30C04BEF" w:rsidR="00FD021C" w:rsidRPr="00EE5E43" w:rsidRDefault="00FD021C" w:rsidP="004F7D63">
            <w:pPr>
              <w:spacing w:before="60"/>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r w:rsidRPr="00EE5E43">
              <w:rPr>
                <w:rFonts w:ascii="Arial" w:hAnsi="Arial" w:cs="Arial"/>
                <w:noProof/>
              </w:rPr>
              <w:t>1000</w:t>
            </w:r>
          </w:p>
        </w:tc>
      </w:tr>
      <w:tr w:rsidR="00FD021C" w:rsidRPr="00EE5E43" w14:paraId="0C263389" w14:textId="77777777" w:rsidTr="004F7D63">
        <w:tc>
          <w:tcPr>
            <w:tcW w:w="7379" w:type="dxa"/>
            <w:gridSpan w:val="2"/>
          </w:tcPr>
          <w:p w14:paraId="0C263387" w14:textId="7633DF00"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88" w14:textId="07D2326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207079" w:rsidRPr="00195023">
              <w:rPr>
                <w:rFonts w:ascii="Arial" w:hAnsi="Arial" w:cs="Arial"/>
                <w:noProof/>
              </w:rPr>
              <w:t xml:space="preserve">Min. </w:t>
            </w:r>
            <w:r w:rsidRPr="00EE5E43">
              <w:rPr>
                <w:rFonts w:ascii="Arial" w:hAnsi="Arial" w:cs="Arial"/>
                <w:noProof/>
              </w:rPr>
              <w:t>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687FD565" w14:textId="20D1DE8D" w:rsidR="008D1C4C" w:rsidRDefault="008D1C4C" w:rsidP="00A17BF6">
      <w:pPr>
        <w:tabs>
          <w:tab w:val="left" w:pos="6521"/>
        </w:tabs>
        <w:spacing w:before="120" w:after="120"/>
        <w:rPr>
          <w:rFonts w:ascii="Arial" w:hAnsi="Arial" w:cs="Arial"/>
          <w:b/>
        </w:rPr>
      </w:pPr>
      <w:r>
        <w:rPr>
          <w:rFonts w:ascii="Arial" w:hAnsi="Arial" w:cs="Arial"/>
          <w:b/>
        </w:rPr>
        <w:lastRenderedPageBreak/>
        <w:t>Nepovinná položka:</w:t>
      </w:r>
    </w:p>
    <w:p w14:paraId="0C2633DD" w14:textId="11BF0718"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8D54356"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F453F55"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141F9DEB" w:rsidR="000F610D" w:rsidRPr="00EE5E43" w:rsidRDefault="008A5AFA"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43592F">
              <w:rPr>
                <w:rFonts w:ascii="Arial" w:hAnsi="Arial" w:cs="Arial"/>
                <w:noProof/>
              </w:rPr>
              <w:t>třída M</w:t>
            </w:r>
            <w:r w:rsidR="00ED4ED4" w:rsidRPr="0043592F">
              <w:rPr>
                <w:rFonts w:ascii="Arial" w:hAnsi="Arial" w:cs="Arial"/>
                <w:noProof/>
              </w:rPr>
              <w:t>0</w:t>
            </w:r>
            <w:r w:rsidR="000F610D" w:rsidRPr="0043592F">
              <w:rPr>
                <w:rFonts w:ascii="Arial" w:hAnsi="Arial" w:cs="Arial"/>
                <w:noProof/>
              </w:rPr>
              <w:tab/>
            </w:r>
          </w:p>
        </w:tc>
        <w:tc>
          <w:tcPr>
            <w:tcW w:w="2251" w:type="dxa"/>
          </w:tcPr>
          <w:p w14:paraId="0C2633F1" w14:textId="6F0A2509" w:rsidR="000F610D" w:rsidRPr="00EE5E43" w:rsidRDefault="000F610D" w:rsidP="0012128D">
            <w:pPr>
              <w:spacing w:before="60"/>
              <w:jc w:val="both"/>
              <w:rPr>
                <w:rFonts w:ascii="Arial" w:hAnsi="Arial" w:cs="Arial"/>
                <w:noProof/>
              </w:rPr>
            </w:pPr>
            <w:r w:rsidRPr="00EE5E43">
              <w:rPr>
                <w:rFonts w:ascii="Arial" w:hAnsi="Arial" w:cs="Arial"/>
                <w:noProof/>
              </w:rPr>
              <w:t xml:space="preserve">Počet spínacích cyklů: </w:t>
            </w:r>
            <w:r w:rsidR="00685AF5" w:rsidRPr="00195023">
              <w:rPr>
                <w:rFonts w:ascii="Arial" w:hAnsi="Arial" w:cs="Arial"/>
                <w:noProof/>
              </w:rPr>
              <w:t xml:space="preserve">Min. </w:t>
            </w:r>
            <w:r w:rsidRPr="00EE5E43">
              <w:rPr>
                <w:rFonts w:ascii="Arial" w:hAnsi="Arial" w:cs="Arial"/>
                <w:noProof/>
              </w:rPr>
              <w:t>1000</w:t>
            </w:r>
          </w:p>
        </w:tc>
      </w:tr>
      <w:tr w:rsidR="000F610D" w:rsidRPr="00EE5E43" w14:paraId="0C2633F5" w14:textId="77777777" w:rsidTr="0012128D">
        <w:tc>
          <w:tcPr>
            <w:tcW w:w="7379" w:type="dxa"/>
          </w:tcPr>
          <w:p w14:paraId="0C2633F3" w14:textId="0B36AD50" w:rsidR="000F610D" w:rsidRPr="00EE5E43" w:rsidRDefault="000F610D"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F4" w14:textId="00D59111" w:rsidR="000F610D" w:rsidRPr="00EE5E43" w:rsidRDefault="000F610D" w:rsidP="0012128D">
            <w:pPr>
              <w:spacing w:before="60" w:line="276" w:lineRule="auto"/>
              <w:jc w:val="both"/>
              <w:rPr>
                <w:rFonts w:ascii="Arial" w:hAnsi="Arial" w:cs="Arial"/>
                <w:noProof/>
              </w:rPr>
            </w:pPr>
            <w:r w:rsidRPr="00EE5E43">
              <w:rPr>
                <w:rFonts w:ascii="Arial" w:hAnsi="Arial" w:cs="Arial"/>
                <w:noProof/>
              </w:rPr>
              <w:t xml:space="preserve">Počet spínacích cyklů při Ima: </w:t>
            </w:r>
            <w:r w:rsidR="00685AF5" w:rsidRPr="00195023">
              <w:rPr>
                <w:rFonts w:ascii="Arial" w:hAnsi="Arial" w:cs="Arial"/>
                <w:noProof/>
              </w:rPr>
              <w:t xml:space="preserve">Min. </w:t>
            </w:r>
            <w:r w:rsidRPr="00EE5E43">
              <w:rPr>
                <w:rFonts w:ascii="Arial" w:hAnsi="Arial" w:cs="Arial"/>
                <w:noProof/>
              </w:rPr>
              <w:t>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6289C378" w14:textId="7DCF5DF2" w:rsidR="008A5AFA" w:rsidRDefault="008A5AFA" w:rsidP="008A5AFA">
      <w:pPr>
        <w:spacing w:before="60"/>
        <w:jc w:val="both"/>
        <w:rPr>
          <w:rFonts w:ascii="Arial" w:hAnsi="Arial" w:cs="Arial"/>
          <w:noProof/>
        </w:rPr>
      </w:pPr>
      <w:r w:rsidRPr="008A5AFA">
        <w:rPr>
          <w:rFonts w:ascii="Arial" w:hAnsi="Arial" w:cs="Arial"/>
          <w:noProof/>
        </w:rPr>
        <w:t>Jako plnicí médium musí být použity plyny přírodního původu</w:t>
      </w:r>
      <w:r w:rsidR="0006138C">
        <w:rPr>
          <w:rFonts w:ascii="Arial" w:hAnsi="Arial" w:cs="Arial"/>
          <w:noProof/>
        </w:rPr>
        <w:t>, které nesmí obsahovat fluorované skleníkové plyny</w:t>
      </w:r>
      <w:r w:rsidR="007C597C">
        <w:rPr>
          <w:rFonts w:ascii="Arial" w:hAnsi="Arial" w:cs="Arial"/>
          <w:noProof/>
        </w:rPr>
        <w:t>, takzvané F-plyny.</w:t>
      </w:r>
      <w:r w:rsidRPr="008A5AFA">
        <w:rPr>
          <w:rFonts w:ascii="Arial" w:hAnsi="Arial" w:cs="Arial"/>
          <w:noProof/>
        </w:rPr>
        <w:t xml:space="preserve"> </w:t>
      </w:r>
      <w:r w:rsidR="007C597C">
        <w:rPr>
          <w:rFonts w:ascii="Arial" w:hAnsi="Arial" w:cs="Arial"/>
          <w:noProof/>
        </w:rPr>
        <w:t>A</w:t>
      </w:r>
      <w:r w:rsidRPr="008A5AFA">
        <w:rPr>
          <w:rFonts w:ascii="Arial" w:hAnsi="Arial" w:cs="Arial"/>
          <w:noProof/>
        </w:rPr>
        <w:t xml:space="preserve"> jejich</w:t>
      </w:r>
      <w:r w:rsidR="007C597C">
        <w:rPr>
          <w:rFonts w:ascii="Arial" w:hAnsi="Arial" w:cs="Arial"/>
          <w:noProof/>
        </w:rPr>
        <w:t>ž</w:t>
      </w:r>
      <w:r w:rsidRPr="008A5AFA">
        <w:rPr>
          <w:rFonts w:ascii="Arial" w:hAnsi="Arial" w:cs="Arial"/>
          <w:noProof/>
        </w:rPr>
        <w:t xml:space="preserve"> směsi </w:t>
      </w:r>
      <w:r>
        <w:rPr>
          <w:rFonts w:ascii="Arial" w:hAnsi="Arial" w:cs="Arial"/>
          <w:noProof/>
        </w:rPr>
        <w:t>odpovídají ČSN</w:t>
      </w:r>
      <w:r w:rsidRPr="008A5AFA">
        <w:rPr>
          <w:rFonts w:ascii="Arial" w:hAnsi="Arial" w:cs="Arial"/>
          <w:noProof/>
        </w:rPr>
        <w:t xml:space="preserve"> EN IEC 62271-4. </w:t>
      </w:r>
      <w:r w:rsidRPr="00EE5E43">
        <w:rPr>
          <w:rFonts w:ascii="Arial" w:hAnsi="Arial" w:cs="Arial"/>
          <w:noProof/>
        </w:rPr>
        <w:t xml:space="preserve">Musí být dodrženy předpisy a nařízení pro tlakové nádoby. Plnící tlak a objem musí být navržen tak, aby nebyly nutné žádné odborné kontroly nebo revize. </w:t>
      </w:r>
    </w:p>
    <w:p w14:paraId="0FC5CC1C" w14:textId="72F9DDDB" w:rsidR="0075327D" w:rsidRDefault="0075327D" w:rsidP="008C4BF2">
      <w:pPr>
        <w:jc w:val="both"/>
        <w:rPr>
          <w:rFonts w:ascii="Arial" w:hAnsi="Arial" w:cs="Arial"/>
        </w:rPr>
      </w:pPr>
      <w:bookmarkStart w:id="0" w:name="_Hlk152144804"/>
      <w:r w:rsidRPr="00855A5D">
        <w:rPr>
          <w:rFonts w:ascii="Arial" w:hAnsi="Arial" w:cs="Arial"/>
        </w:rPr>
        <w:t xml:space="preserve">Přesné chemické složení směsi plynů izolačního </w:t>
      </w:r>
      <w:r w:rsidR="008C4BF2" w:rsidRPr="00855A5D">
        <w:rPr>
          <w:rFonts w:ascii="Arial" w:hAnsi="Arial" w:cs="Arial"/>
        </w:rPr>
        <w:t>média a</w:t>
      </w:r>
      <w:r w:rsidRPr="00855A5D">
        <w:rPr>
          <w:rFonts w:ascii="Arial" w:hAnsi="Arial" w:cs="Arial"/>
        </w:rPr>
        <w:t xml:space="preserve"> hodnotu koeficientu GWP (</w:t>
      </w:r>
      <w:proofErr w:type="spellStart"/>
      <w:r w:rsidRPr="00855A5D">
        <w:rPr>
          <w:rFonts w:ascii="Arial" w:hAnsi="Arial" w:cs="Arial"/>
        </w:rPr>
        <w:t>Global</w:t>
      </w:r>
      <w:proofErr w:type="spellEnd"/>
      <w:r w:rsidRPr="00855A5D">
        <w:rPr>
          <w:rFonts w:ascii="Arial" w:hAnsi="Arial" w:cs="Arial"/>
        </w:rPr>
        <w:t xml:space="preserve"> </w:t>
      </w:r>
      <w:proofErr w:type="spellStart"/>
      <w:r w:rsidRPr="00855A5D">
        <w:rPr>
          <w:rFonts w:ascii="Arial" w:hAnsi="Arial" w:cs="Arial"/>
        </w:rPr>
        <w:t>warming</w:t>
      </w:r>
      <w:proofErr w:type="spellEnd"/>
      <w:r w:rsidRPr="00855A5D">
        <w:rPr>
          <w:rFonts w:ascii="Arial" w:hAnsi="Arial" w:cs="Arial"/>
        </w:rPr>
        <w:t xml:space="preserve"> </w:t>
      </w:r>
      <w:proofErr w:type="spellStart"/>
      <w:r w:rsidRPr="00855A5D">
        <w:rPr>
          <w:rFonts w:ascii="Arial" w:hAnsi="Arial" w:cs="Arial"/>
        </w:rPr>
        <w:t>potential</w:t>
      </w:r>
      <w:proofErr w:type="spellEnd"/>
      <w:r w:rsidRPr="00855A5D">
        <w:rPr>
          <w:rFonts w:ascii="Arial" w:hAnsi="Arial" w:cs="Arial"/>
        </w:rPr>
        <w:t xml:space="preserve">) </w:t>
      </w:r>
      <w:r>
        <w:rPr>
          <w:rFonts w:ascii="Arial" w:hAnsi="Arial" w:cs="Arial"/>
        </w:rPr>
        <w:t xml:space="preserve">plynného izolačního média </w:t>
      </w:r>
      <w:r w:rsidRPr="00855A5D">
        <w:rPr>
          <w:rFonts w:ascii="Arial" w:hAnsi="Arial" w:cs="Arial"/>
        </w:rPr>
        <w:t xml:space="preserve">uvede </w:t>
      </w:r>
      <w:r w:rsidR="000821C7">
        <w:rPr>
          <w:rFonts w:ascii="Arial" w:hAnsi="Arial" w:cs="Arial"/>
        </w:rPr>
        <w:t>účastník</w:t>
      </w:r>
      <w:r w:rsidRPr="00855A5D">
        <w:rPr>
          <w:rFonts w:ascii="Arial" w:hAnsi="Arial" w:cs="Arial"/>
        </w:rPr>
        <w:t xml:space="preserve"> </w:t>
      </w:r>
      <w:bookmarkEnd w:id="0"/>
      <w:r>
        <w:rPr>
          <w:rFonts w:ascii="Arial" w:hAnsi="Arial" w:cs="Arial"/>
        </w:rPr>
        <w:t>v příloze 3 rámcové smlouvy,</w:t>
      </w:r>
      <w:r w:rsidRPr="00855A5D">
        <w:rPr>
          <w:rFonts w:ascii="Arial" w:hAnsi="Arial" w:cs="Arial"/>
        </w:rPr>
        <w:t xml:space="preserve"> dle nařízení evropského parlamentu a rady (EU) 2024/573 ze dne 7. února 2024 o fluorovaných skleníkových plynech, o změně směrnice (EU) 2019/1937 a o zrušení nařízení (EU) č. 517/2014.</w:t>
      </w:r>
    </w:p>
    <w:p w14:paraId="0C2633FD" w14:textId="234D0F74" w:rsidR="00792AF4" w:rsidRPr="00EE5E43" w:rsidRDefault="00E44C22" w:rsidP="008A5AFA">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3ECCD98F"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 xml:space="preserve">nádoby plněné </w:t>
      </w:r>
      <w:r w:rsidR="000C1407">
        <w:rPr>
          <w:rFonts w:ascii="Arial" w:hAnsi="Arial" w:cs="Arial"/>
          <w:noProof/>
        </w:rPr>
        <w:t xml:space="preserve">izolačním </w:t>
      </w:r>
      <w:r w:rsidR="00FE44FE" w:rsidRPr="00EE5E43">
        <w:rPr>
          <w:rFonts w:ascii="Arial" w:hAnsi="Arial" w:cs="Arial"/>
          <w:noProof/>
        </w:rPr>
        <w:t>plynem.</w:t>
      </w:r>
    </w:p>
    <w:p w14:paraId="0C263402" w14:textId="53C31FA2" w:rsidR="00663100" w:rsidRPr="000C1407" w:rsidRDefault="00FE44FE" w:rsidP="00663100">
      <w:pPr>
        <w:spacing w:before="60"/>
        <w:jc w:val="both"/>
        <w:rPr>
          <w:rFonts w:ascii="Arial" w:hAnsi="Arial" w:cs="Arial"/>
          <w:bCs/>
          <w:noProof/>
        </w:rPr>
      </w:pPr>
      <w:r w:rsidRPr="00EE5E43">
        <w:rPr>
          <w:rFonts w:ascii="Arial" w:hAnsi="Arial" w:cs="Arial"/>
          <w:noProof/>
        </w:rPr>
        <w:t>Musí být zaručena taková těsnost, že jmenovitý provozní tlak v nádobě se udrží minimálně po dobu 40 let. Míra úniku plynu (relativní hodnota úniku) nesmí překročit 0,1 % za rok.</w:t>
      </w:r>
      <w:r w:rsidR="00663100" w:rsidRPr="00EE5E43">
        <w:rPr>
          <w:rFonts w:ascii="Arial" w:hAnsi="Arial" w:cs="Arial"/>
          <w:noProof/>
        </w:rPr>
        <w:t xml:space="preserve"> </w:t>
      </w:r>
      <w:r w:rsidR="00663100" w:rsidRPr="000C1407">
        <w:rPr>
          <w:rFonts w:ascii="Arial" w:hAnsi="Arial" w:cs="Arial"/>
          <w:bCs/>
          <w:noProof/>
        </w:rPr>
        <w:t>Rozvaděč musí být označen v souladu s Nařízením Komise (ES) č. 1497/2007 a Nařízení evropského parlamentu a rady (EU) č. 5</w:t>
      </w:r>
      <w:r w:rsidR="00743B37" w:rsidRPr="000C1407">
        <w:rPr>
          <w:rFonts w:ascii="Arial" w:hAnsi="Arial" w:cs="Arial"/>
          <w:bCs/>
          <w:noProof/>
        </w:rPr>
        <w:t>73</w:t>
      </w:r>
      <w:r w:rsidR="00663100" w:rsidRPr="000C1407">
        <w:rPr>
          <w:rFonts w:ascii="Arial" w:hAnsi="Arial" w:cs="Arial"/>
          <w:bCs/>
          <w:noProof/>
        </w:rPr>
        <w:t>/20</w:t>
      </w:r>
      <w:r w:rsidR="00743B37" w:rsidRPr="000C1407">
        <w:rPr>
          <w:rFonts w:ascii="Arial" w:hAnsi="Arial" w:cs="Arial"/>
          <w:bCs/>
          <w:noProof/>
        </w:rPr>
        <w:t>24</w:t>
      </w:r>
      <w:r w:rsidR="00663100" w:rsidRPr="000C1407">
        <w:rPr>
          <w:rFonts w:ascii="Arial" w:hAnsi="Arial" w:cs="Arial"/>
          <w:bCs/>
          <w:noProof/>
        </w:rPr>
        <w:t>.</w:t>
      </w:r>
    </w:p>
    <w:p w14:paraId="0C263403" w14:textId="5104F243" w:rsidR="00FE44FE" w:rsidRPr="00EE5E43" w:rsidRDefault="00743B37" w:rsidP="00743B37">
      <w:pPr>
        <w:spacing w:before="60"/>
        <w:jc w:val="both"/>
        <w:rPr>
          <w:rFonts w:ascii="Arial" w:hAnsi="Arial" w:cs="Arial"/>
          <w:noProof/>
        </w:rPr>
      </w:pPr>
      <w:r>
        <w:rPr>
          <w:rFonts w:ascii="Arial" w:hAnsi="Arial" w:cs="Arial"/>
          <w:noProof/>
        </w:rPr>
        <w:t>P</w:t>
      </w:r>
      <w:r w:rsidRPr="00743B37">
        <w:rPr>
          <w:rFonts w:ascii="Arial" w:hAnsi="Arial" w:cs="Arial"/>
          <w:noProof/>
        </w:rPr>
        <w:t xml:space="preserve">řipravenost </w:t>
      </w:r>
      <w:r>
        <w:rPr>
          <w:rFonts w:ascii="Arial" w:hAnsi="Arial" w:cs="Arial"/>
          <w:noProof/>
        </w:rPr>
        <w:t xml:space="preserve">k provozu a manipulacím </w:t>
      </w:r>
      <w:r w:rsidRPr="00743B37">
        <w:rPr>
          <w:rFonts w:ascii="Arial" w:hAnsi="Arial" w:cs="Arial"/>
          <w:noProof/>
        </w:rPr>
        <w:t>musí být kontrolov</w:t>
      </w:r>
      <w:r>
        <w:rPr>
          <w:rFonts w:ascii="Arial" w:hAnsi="Arial" w:cs="Arial"/>
          <w:noProof/>
        </w:rPr>
        <w:t>ate</w:t>
      </w:r>
      <w:r w:rsidR="00C17BC4">
        <w:rPr>
          <w:rFonts w:ascii="Arial" w:hAnsi="Arial" w:cs="Arial"/>
          <w:noProof/>
        </w:rPr>
        <w:t>l</w:t>
      </w:r>
      <w:r>
        <w:rPr>
          <w:rFonts w:ascii="Arial" w:hAnsi="Arial" w:cs="Arial"/>
          <w:noProof/>
        </w:rPr>
        <w:t xml:space="preserve">ná </w:t>
      </w:r>
      <w:r w:rsidRPr="00743B37">
        <w:rPr>
          <w:rFonts w:ascii="Arial" w:hAnsi="Arial" w:cs="Arial"/>
          <w:noProof/>
        </w:rPr>
        <w:t>bez jakýchkoli</w:t>
      </w:r>
      <w:r>
        <w:rPr>
          <w:rFonts w:ascii="Arial" w:hAnsi="Arial" w:cs="Arial"/>
          <w:noProof/>
        </w:rPr>
        <w:t>v</w:t>
      </w:r>
      <w:r w:rsidRPr="00743B37">
        <w:rPr>
          <w:rFonts w:ascii="Arial" w:hAnsi="Arial" w:cs="Arial"/>
          <w:noProof/>
        </w:rPr>
        <w:t xml:space="preserve"> pomůcek pomocí teplotně a/nebo tlakově kompenzovaných</w:t>
      </w:r>
      <w:r>
        <w:rPr>
          <w:rFonts w:ascii="Arial" w:hAnsi="Arial" w:cs="Arial"/>
          <w:noProof/>
        </w:rPr>
        <w:t xml:space="preserve"> </w:t>
      </w:r>
      <w:r w:rsidRPr="00743B37">
        <w:rPr>
          <w:rFonts w:ascii="Arial" w:hAnsi="Arial" w:cs="Arial"/>
          <w:noProof/>
        </w:rPr>
        <w:t xml:space="preserve">zobrazovacích systémů nebo </w:t>
      </w:r>
      <w:r>
        <w:rPr>
          <w:rFonts w:ascii="Arial" w:hAnsi="Arial" w:cs="Arial"/>
          <w:noProof/>
        </w:rPr>
        <w:t>manometrů</w:t>
      </w:r>
      <w:r w:rsidRPr="00743B37">
        <w:rPr>
          <w:rFonts w:ascii="Arial" w:hAnsi="Arial" w:cs="Arial"/>
          <w:noProof/>
        </w:rPr>
        <w:t>.</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7755B987"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 xml:space="preserve">systém skládá z jednotlivých modulů umístěných vedle sebe a/nebo  z bloku obsahujícího více polí (kompakt). </w:t>
      </w:r>
    </w:p>
    <w:p w14:paraId="25EC736E" w14:textId="0D8329E9" w:rsidR="00743B37" w:rsidRDefault="00743B37" w:rsidP="00803F22">
      <w:pPr>
        <w:tabs>
          <w:tab w:val="left" w:pos="6521"/>
        </w:tabs>
        <w:spacing w:before="120" w:after="120"/>
        <w:rPr>
          <w:rFonts w:ascii="Arial" w:hAnsi="Arial" w:cs="Arial"/>
          <w:noProof/>
        </w:rPr>
      </w:pPr>
      <w:r>
        <w:rPr>
          <w:rFonts w:ascii="Arial" w:hAnsi="Arial" w:cs="Arial"/>
          <w:noProof/>
        </w:rPr>
        <w:t xml:space="preserve">Kompaktní rozvaděče </w:t>
      </w:r>
      <w:r w:rsidRPr="00743B37">
        <w:rPr>
          <w:rFonts w:ascii="Arial" w:hAnsi="Arial" w:cs="Arial"/>
          <w:noProof/>
        </w:rPr>
        <w:t>musí být možné zvednout v jednom kuse pomocí zvedacích ok.</w:t>
      </w:r>
    </w:p>
    <w:p w14:paraId="13EC68C0" w14:textId="06A731CC" w:rsidR="00743B37" w:rsidRPr="00743B37" w:rsidRDefault="00743B37" w:rsidP="00743B37">
      <w:pPr>
        <w:tabs>
          <w:tab w:val="left" w:pos="6521"/>
        </w:tabs>
        <w:spacing w:before="120" w:after="120"/>
        <w:rPr>
          <w:rFonts w:ascii="Arial" w:hAnsi="Arial" w:cs="Arial"/>
          <w:noProof/>
        </w:rPr>
      </w:pPr>
      <w:r w:rsidRPr="00743B37">
        <w:rPr>
          <w:rFonts w:ascii="Arial" w:hAnsi="Arial" w:cs="Arial"/>
          <w:noProof/>
        </w:rPr>
        <w:t xml:space="preserve">Základní konstrukce </w:t>
      </w:r>
      <w:r>
        <w:rPr>
          <w:rFonts w:ascii="Arial" w:hAnsi="Arial" w:cs="Arial"/>
          <w:noProof/>
        </w:rPr>
        <w:t xml:space="preserve">rozvaděče </w:t>
      </w:r>
      <w:r w:rsidRPr="00743B37">
        <w:rPr>
          <w:rFonts w:ascii="Arial" w:hAnsi="Arial" w:cs="Arial"/>
          <w:noProof/>
        </w:rPr>
        <w:t>a kryt kabelového prostoru se skládá z ocelového plechu chráněného proti korozi</w:t>
      </w:r>
      <w:r>
        <w:rPr>
          <w:rFonts w:ascii="Arial" w:hAnsi="Arial" w:cs="Arial"/>
          <w:noProof/>
        </w:rPr>
        <w:t xml:space="preserve"> (pozinkovaný plech, atd.).</w:t>
      </w:r>
    </w:p>
    <w:p w14:paraId="2C61ACC7" w14:textId="77777777" w:rsidR="00743B37" w:rsidRDefault="00743B37" w:rsidP="00551D77">
      <w:pPr>
        <w:tabs>
          <w:tab w:val="left" w:pos="6521"/>
        </w:tabs>
        <w:spacing w:before="120" w:after="120"/>
        <w:rPr>
          <w:rFonts w:ascii="Arial" w:hAnsi="Arial" w:cs="Arial"/>
          <w:b/>
          <w:noProof/>
        </w:rPr>
      </w:pPr>
    </w:p>
    <w:p w14:paraId="0C263406" w14:textId="354ED582"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6CE26F6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K, rozšiřitelné </w:t>
      </w:r>
      <w:r w:rsidR="00214506">
        <w:rPr>
          <w:rFonts w:ascii="Arial" w:hAnsi="Arial" w:cs="Arial"/>
          <w:noProof/>
        </w:rPr>
        <w:t xml:space="preserve">z </w:t>
      </w:r>
      <w:r w:rsidRPr="00EE5E43">
        <w:rPr>
          <w:rFonts w:ascii="Arial" w:hAnsi="Arial" w:cs="Arial"/>
          <w:noProof/>
        </w:rPr>
        <w:t>obou stran</w:t>
      </w:r>
    </w:p>
    <w:p w14:paraId="0C263416" w14:textId="60CD0758"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T, rozšiřitelné </w:t>
      </w:r>
      <w:r w:rsidR="00214506">
        <w:rPr>
          <w:rFonts w:ascii="Arial" w:hAnsi="Arial" w:cs="Arial"/>
          <w:noProof/>
        </w:rPr>
        <w:t>z</w:t>
      </w:r>
      <w:r w:rsidRPr="00EE5E43">
        <w:rPr>
          <w:rFonts w:ascii="Arial" w:hAnsi="Arial" w:cs="Arial"/>
          <w:noProof/>
        </w:rPr>
        <w:t xml:space="preserve"> obou stran</w:t>
      </w:r>
    </w:p>
    <w:p w14:paraId="0C263418" w14:textId="45D931A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L1, rozšiřitelné </w:t>
      </w:r>
      <w:r w:rsidR="00214506">
        <w:rPr>
          <w:rFonts w:ascii="Arial" w:hAnsi="Arial" w:cs="Arial"/>
          <w:noProof/>
        </w:rPr>
        <w:t>z</w:t>
      </w:r>
      <w:r w:rsidRPr="00EE5E43">
        <w:rPr>
          <w:rFonts w:ascii="Arial" w:hAnsi="Arial" w:cs="Arial"/>
          <w:noProof/>
        </w:rPr>
        <w:t xml:space="preserve"> obou stran</w:t>
      </w:r>
    </w:p>
    <w:p w14:paraId="0C263419" w14:textId="38531FD9"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L2, rozšiřitelné </w:t>
      </w:r>
      <w:r w:rsidR="00214506">
        <w:rPr>
          <w:rFonts w:ascii="Arial" w:hAnsi="Arial" w:cs="Arial"/>
          <w:noProof/>
        </w:rPr>
        <w:t>z</w:t>
      </w:r>
      <w:r w:rsidRPr="00EE5E43">
        <w:rPr>
          <w:rFonts w:ascii="Arial" w:hAnsi="Arial" w:cs="Arial"/>
          <w:noProof/>
        </w:rPr>
        <w:t xml:space="preserve"> obou stran</w:t>
      </w:r>
    </w:p>
    <w:p w14:paraId="70E85F86" w14:textId="77777777" w:rsidR="00CE5C79" w:rsidRDefault="00CE5C79" w:rsidP="005A3CD0">
      <w:pPr>
        <w:pStyle w:val="Odstavecseseznamem"/>
        <w:spacing w:before="60"/>
        <w:jc w:val="both"/>
        <w:rPr>
          <w:rFonts w:ascii="Arial" w:hAnsi="Arial" w:cs="Arial"/>
          <w:noProof/>
        </w:rPr>
      </w:pP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38C3752D" w14:textId="77777777"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KK PS/ PS KK (dva kabelové přívody a pole podélné spojky), rozvaděč rozšiřitelný o navazující pole měření do levé nebo pravé strany.</w:t>
      </w:r>
    </w:p>
    <w:p w14:paraId="007C26AC" w14:textId="6E70EE4D"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PS, rozšiřitelné  z obou stran (podélná spojka přípojnic s odpínačem)</w:t>
      </w:r>
    </w:p>
    <w:p w14:paraId="35E4530D" w14:textId="7D72FDA0" w:rsidR="00214506"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H, rozšiřitelné z obou stran (přechodové pole při použití podélné spojky přípojnic)</w:t>
      </w:r>
    </w:p>
    <w:p w14:paraId="2D61B73C" w14:textId="5DC8FCA9" w:rsidR="008826B4" w:rsidRDefault="008826B4" w:rsidP="008826B4">
      <w:pPr>
        <w:pStyle w:val="Odstavecseseznamem"/>
        <w:numPr>
          <w:ilvl w:val="0"/>
          <w:numId w:val="38"/>
        </w:numPr>
        <w:spacing w:before="60"/>
        <w:jc w:val="both"/>
        <w:rPr>
          <w:rFonts w:ascii="Arial" w:hAnsi="Arial" w:cs="Arial"/>
          <w:noProof/>
        </w:rPr>
      </w:pPr>
      <w:r w:rsidRPr="008C4BF2">
        <w:rPr>
          <w:rFonts w:ascii="Arial" w:hAnsi="Arial" w:cs="Arial"/>
          <w:noProof/>
        </w:rPr>
        <w:t>Zapojení E, rozšiřitelné z obou stran (uzemňovač přípojnic)</w:t>
      </w:r>
    </w:p>
    <w:p w14:paraId="6D2969C9" w14:textId="1ED5D16E"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1</w:t>
      </w:r>
      <w:r w:rsidRPr="00EE5E43">
        <w:rPr>
          <w:rFonts w:ascii="Arial" w:hAnsi="Arial" w:cs="Arial"/>
        </w:rPr>
        <w:t>,</w:t>
      </w:r>
      <w:r w:rsidRPr="00EE5E43">
        <w:rPr>
          <w:rFonts w:ascii="Arial" w:hAnsi="Arial" w:cs="Arial"/>
          <w:noProof/>
        </w:rPr>
        <w:t xml:space="preserve"> vzduchem izolovaný </w:t>
      </w:r>
      <w:r w:rsidRPr="00EE5E43">
        <w:rPr>
          <w:rFonts w:ascii="Arial" w:hAnsi="Arial" w:cs="Arial"/>
        </w:rPr>
        <w:t>prostor pro montáž MTN a MTP</w:t>
      </w:r>
      <w:r w:rsidRPr="00EE5E43">
        <w:rPr>
          <w:rFonts w:ascii="Arial" w:hAnsi="Arial" w:cs="Arial"/>
          <w:noProof/>
        </w:rPr>
        <w:t xml:space="preserve"> (pole měření),</w:t>
      </w:r>
    </w:p>
    <w:p w14:paraId="68CC3D07" w14:textId="77777777" w:rsidR="00E269CA" w:rsidRPr="00EE5E43" w:rsidRDefault="00E269CA" w:rsidP="00E269CA">
      <w:pPr>
        <w:pStyle w:val="Odstavecseseznamem"/>
        <w:spacing w:before="60"/>
        <w:jc w:val="both"/>
        <w:rPr>
          <w:rFonts w:ascii="Arial" w:hAnsi="Arial" w:cs="Arial"/>
          <w:noProof/>
        </w:rPr>
      </w:pPr>
      <w:r w:rsidRPr="00EE5E43">
        <w:rPr>
          <w:rFonts w:ascii="Arial" w:hAnsi="Arial" w:cs="Arial"/>
          <w:noProof/>
        </w:rPr>
        <w:t>Přívod kabelem, odvod na přípojnice (vlevo nebo</w:t>
      </w:r>
      <w:r>
        <w:rPr>
          <w:rFonts w:ascii="Arial" w:hAnsi="Arial" w:cs="Arial"/>
          <w:noProof/>
        </w:rPr>
        <w:t xml:space="preserve">/a </w:t>
      </w:r>
      <w:r w:rsidRPr="00EE5E43">
        <w:rPr>
          <w:rFonts w:ascii="Arial" w:hAnsi="Arial" w:cs="Arial"/>
          <w:noProof/>
        </w:rPr>
        <w:t>vpravo)</w:t>
      </w:r>
    </w:p>
    <w:p w14:paraId="7E4E1CDE" w14:textId="77777777"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2</w:t>
      </w:r>
      <w:r w:rsidRPr="00EE5E43">
        <w:rPr>
          <w:rFonts w:ascii="Arial" w:hAnsi="Arial" w:cs="Arial"/>
        </w:rPr>
        <w:t xml:space="preserve">, </w:t>
      </w:r>
      <w:r w:rsidRPr="00EE5E43">
        <w:rPr>
          <w:rFonts w:ascii="Arial" w:hAnsi="Arial" w:cs="Arial"/>
          <w:noProof/>
        </w:rPr>
        <w:t xml:space="preserve">vzduchem izolovaný </w:t>
      </w:r>
      <w:r w:rsidRPr="00EE5E43">
        <w:rPr>
          <w:rFonts w:ascii="Arial" w:hAnsi="Arial" w:cs="Arial"/>
        </w:rPr>
        <w:t>prostor pro montáž MTN a MTP </w:t>
      </w:r>
      <w:r w:rsidRPr="00EE5E43">
        <w:rPr>
          <w:rFonts w:ascii="Arial" w:hAnsi="Arial" w:cs="Arial"/>
          <w:noProof/>
        </w:rPr>
        <w:t>(pole měření),</w:t>
      </w:r>
    </w:p>
    <w:p w14:paraId="216FB19F" w14:textId="30F98209" w:rsidR="00E269CA" w:rsidRPr="00A17BF6" w:rsidRDefault="00E269CA" w:rsidP="00A17BF6">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4767393E" w14:textId="77777777" w:rsidR="00E47DD9" w:rsidRPr="00EE5E43" w:rsidRDefault="00E47DD9" w:rsidP="00E47DD9">
      <w:pPr>
        <w:spacing w:before="60"/>
        <w:jc w:val="both"/>
        <w:rPr>
          <w:rFonts w:ascii="Arial" w:hAnsi="Arial" w:cs="Arial"/>
          <w:i/>
          <w:noProof/>
        </w:rPr>
      </w:pPr>
      <w:r w:rsidRPr="00EE5E43">
        <w:rPr>
          <w:rFonts w:ascii="Arial" w:hAnsi="Arial" w:cs="Arial"/>
          <w:i/>
          <w:noProof/>
        </w:rPr>
        <w:t>Poznámka:</w:t>
      </w:r>
    </w:p>
    <w:p w14:paraId="5E0BD610" w14:textId="77777777" w:rsidR="00E47DD9" w:rsidRDefault="00E47DD9" w:rsidP="00E47DD9">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2C4E14CF" w14:textId="3DF3236F" w:rsidR="003B50E9" w:rsidRPr="00A17BF6" w:rsidRDefault="00F77C86" w:rsidP="007B2580">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34455977" w14:textId="77777777" w:rsidR="00305049" w:rsidRPr="008C4BF2" w:rsidRDefault="00305049" w:rsidP="00305049">
      <w:pPr>
        <w:pStyle w:val="Odstavecseseznamem"/>
        <w:numPr>
          <w:ilvl w:val="0"/>
          <w:numId w:val="40"/>
        </w:numPr>
        <w:spacing w:before="60"/>
        <w:jc w:val="both"/>
        <w:rPr>
          <w:rFonts w:ascii="Arial" w:hAnsi="Arial" w:cs="Arial"/>
          <w:noProof/>
        </w:rPr>
      </w:pPr>
      <w:r w:rsidRPr="008C4BF2">
        <w:rPr>
          <w:rFonts w:ascii="Arial" w:hAnsi="Arial" w:cs="Arial"/>
          <w:noProof/>
        </w:rPr>
        <w:t>Zapojení KKPSKKT</w:t>
      </w:r>
    </w:p>
    <w:p w14:paraId="1AD8075E" w14:textId="3EEF4978" w:rsidR="00305049" w:rsidRDefault="00305049" w:rsidP="00305049">
      <w:pPr>
        <w:pStyle w:val="Odstavecseseznamem"/>
        <w:numPr>
          <w:ilvl w:val="0"/>
          <w:numId w:val="40"/>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 PS </w:t>
      </w:r>
      <w:r w:rsidRPr="002D406D">
        <w:rPr>
          <w:rFonts w:ascii="Arial" w:hAnsi="Arial" w:cs="Arial"/>
          <w:noProof/>
        </w:rPr>
        <w:t>(bez vlastní spotřeby)</w:t>
      </w:r>
    </w:p>
    <w:p w14:paraId="3961604F" w14:textId="16D70597" w:rsidR="00FD5564" w:rsidRPr="00A17BF6" w:rsidRDefault="00FD5564" w:rsidP="00FD5564">
      <w:pPr>
        <w:pStyle w:val="Odstavecseseznamem"/>
        <w:numPr>
          <w:ilvl w:val="0"/>
          <w:numId w:val="40"/>
        </w:numPr>
        <w:spacing w:before="60"/>
        <w:jc w:val="both"/>
        <w:rPr>
          <w:rFonts w:ascii="Arial" w:hAnsi="Arial" w:cs="Arial"/>
          <w:noProof/>
        </w:rPr>
      </w:pPr>
      <w:r>
        <w:rPr>
          <w:rFonts w:ascii="Arial" w:hAnsi="Arial" w:cs="Arial"/>
          <w:noProof/>
        </w:rPr>
        <w:t>Zapojení KKKM1 (MTN varianta b) pro vlastní spotřebu)</w:t>
      </w: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50251818"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r w:rsidR="007B2580">
        <w:rPr>
          <w:rFonts w:ascii="Arial" w:hAnsi="Arial" w:cs="Arial"/>
          <w:noProof/>
        </w:rPr>
        <w:t xml:space="preserve"> </w:t>
      </w:r>
      <w:r w:rsidR="007B2580" w:rsidRPr="00A17BF6">
        <w:rPr>
          <w:rFonts w:ascii="Arial" w:hAnsi="Arial" w:cs="Arial"/>
          <w:i/>
          <w:iCs/>
          <w:noProof/>
        </w:rPr>
        <w:t>(v případě, že bude součástí nabídky)</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lastRenderedPageBreak/>
        <w:t>Signalizace stavů spínacích prvků</w:t>
      </w:r>
    </w:p>
    <w:p w14:paraId="72818881" w14:textId="5E7139D6"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(3ZAP/3VYP u odpínače, 2ZAP/2VYP u zkratovače)</w:t>
      </w:r>
    </w:p>
    <w:p w14:paraId="6E5EBE43" w14:textId="2652B67C"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pole transformátoru s odpínačem a pojistkami (signalizace spínacích prvků, vybavení pojistky, přítomnosti </w:t>
      </w:r>
      <w:r w:rsidR="000C1407">
        <w:rPr>
          <w:rFonts w:ascii="Arial" w:hAnsi="Arial" w:cs="Arial"/>
          <w:noProof/>
        </w:rPr>
        <w:t xml:space="preserve">tlaku izolačního </w:t>
      </w:r>
      <w:r w:rsidRPr="002D406D">
        <w:rPr>
          <w:rFonts w:ascii="Arial" w:hAnsi="Arial" w:cs="Arial"/>
          <w:noProof/>
        </w:rPr>
        <w:t>plynu)</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2AA4C03E" w:rsidR="00D13C51" w:rsidRPr="00D1263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Nadstavbová skříň nad celým rozvaděčem VN, výška </w:t>
      </w:r>
      <w:r w:rsidRPr="00D1263D">
        <w:rPr>
          <w:rFonts w:ascii="Arial" w:hAnsi="Arial" w:cs="Arial"/>
          <w:noProof/>
        </w:rPr>
        <w:t>30</w:t>
      </w:r>
      <w:r w:rsidR="00010E4E" w:rsidRPr="00D1263D">
        <w:rPr>
          <w:rFonts w:ascii="Arial" w:hAnsi="Arial" w:cs="Arial"/>
          <w:noProof/>
        </w:rPr>
        <w:t xml:space="preserve"> až 40</w:t>
      </w:r>
      <w:r w:rsidRPr="00D1263D">
        <w:rPr>
          <w:rFonts w:ascii="Arial" w:hAnsi="Arial" w:cs="Arial"/>
          <w:noProof/>
        </w:rPr>
        <w:t xml:space="preserve"> cm</w:t>
      </w:r>
      <w:r w:rsidR="00010E4E" w:rsidRPr="00D1263D">
        <w:rPr>
          <w:rFonts w:ascii="Arial" w:hAnsi="Arial" w:cs="Arial"/>
          <w:noProof/>
        </w:rPr>
        <w:t xml:space="preserve"> včetně</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42102" w:rsidRDefault="00D13C51">
      <w:pPr>
        <w:pStyle w:val="Odstavecseseznamem"/>
        <w:spacing w:before="60"/>
        <w:jc w:val="both"/>
        <w:rPr>
          <w:rFonts w:ascii="Arial" w:hAnsi="Arial" w:cs="Arial"/>
          <w:b/>
          <w:bCs/>
          <w:noProof/>
        </w:rPr>
      </w:pPr>
    </w:p>
    <w:p w14:paraId="0C3C6808" w14:textId="4D6DD547" w:rsidR="00A47B0E" w:rsidRDefault="00A47B0E">
      <w:pPr>
        <w:pStyle w:val="Odstavecseseznamem"/>
        <w:spacing w:before="60"/>
        <w:jc w:val="both"/>
        <w:rPr>
          <w:rFonts w:ascii="Arial" w:hAnsi="Arial" w:cs="Arial"/>
          <w:b/>
          <w:bCs/>
          <w:noProof/>
        </w:rPr>
      </w:pPr>
      <w:r w:rsidRPr="00242102">
        <w:rPr>
          <w:rFonts w:ascii="Arial" w:hAnsi="Arial" w:cs="Arial"/>
          <w:b/>
          <w:bCs/>
          <w:noProof/>
        </w:rPr>
        <w:t>Varianta:</w:t>
      </w:r>
    </w:p>
    <w:p w14:paraId="12A2DB10" w14:textId="765452BD" w:rsidR="00BC45B6" w:rsidRPr="00242102" w:rsidRDefault="00BC45B6">
      <w:pPr>
        <w:pStyle w:val="Odstavecseseznamem"/>
        <w:spacing w:before="60"/>
        <w:jc w:val="both"/>
        <w:rPr>
          <w:rFonts w:ascii="Arial" w:hAnsi="Arial" w:cs="Arial"/>
          <w:b/>
          <w:bCs/>
          <w:noProof/>
        </w:rPr>
      </w:pPr>
      <w:r>
        <w:rPr>
          <w:rFonts w:ascii="Arial" w:hAnsi="Arial" w:cs="Arial"/>
          <w:b/>
          <w:bCs/>
          <w:noProof/>
        </w:rPr>
        <w:t>Nepovinná položka: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1E78A8A1"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Zařízení pro plnění </w:t>
      </w:r>
      <w:r w:rsidR="00CE25E6">
        <w:rPr>
          <w:rFonts w:ascii="Arial" w:hAnsi="Arial" w:cs="Arial"/>
          <w:b/>
          <w:noProof/>
        </w:rPr>
        <w:t xml:space="preserve">izolačním </w:t>
      </w:r>
      <w:r w:rsidRPr="00EE5E43">
        <w:rPr>
          <w:rFonts w:ascii="Arial" w:hAnsi="Arial" w:cs="Arial"/>
          <w:b/>
          <w:noProof/>
        </w:rPr>
        <w:t>plynem</w:t>
      </w:r>
    </w:p>
    <w:p w14:paraId="0C263426" w14:textId="764154DE" w:rsidR="001C172D" w:rsidRPr="00EE5E43" w:rsidRDefault="00B33382" w:rsidP="001C172D">
      <w:pPr>
        <w:spacing w:before="60"/>
        <w:jc w:val="both"/>
        <w:rPr>
          <w:rFonts w:ascii="Arial" w:hAnsi="Arial" w:cs="Arial"/>
          <w:noProof/>
        </w:rPr>
      </w:pPr>
      <w:r w:rsidRPr="00EE5E43">
        <w:rPr>
          <w:rFonts w:ascii="Arial" w:hAnsi="Arial" w:cs="Arial"/>
          <w:noProof/>
        </w:rPr>
        <w:t>Plnění nádoby</w:t>
      </w:r>
      <w:r w:rsidR="00CE25E6">
        <w:rPr>
          <w:rFonts w:ascii="Arial" w:hAnsi="Arial" w:cs="Arial"/>
          <w:noProof/>
        </w:rPr>
        <w:t xml:space="preserve"> izolačním</w:t>
      </w:r>
      <w:r w:rsidRPr="00EE5E43">
        <w:rPr>
          <w:rFonts w:ascii="Arial" w:hAnsi="Arial" w:cs="Arial"/>
          <w:noProof/>
        </w:rPr>
        <w:t xml:space="preserve">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591277D2" w:rsidR="00B33382"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musí být z nádoby odstraněna případná vlhkost. Za účelem absorbování zbytkové vlhkosti je přípustné použití sušicích činidel v nádrži.</w:t>
      </w:r>
    </w:p>
    <w:p w14:paraId="138AC2C8" w14:textId="77777777" w:rsidR="00743B37" w:rsidRPr="00EE5E43" w:rsidRDefault="00743B37" w:rsidP="001C172D">
      <w:pPr>
        <w:spacing w:before="60"/>
        <w:jc w:val="both"/>
        <w:rPr>
          <w:rFonts w:ascii="Arial" w:hAnsi="Arial" w:cs="Arial"/>
          <w:noProof/>
        </w:rPr>
      </w:pP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214506" w:rsidRDefault="00C97A8B" w:rsidP="00B33382">
      <w:pPr>
        <w:spacing w:before="60"/>
        <w:jc w:val="both"/>
        <w:rPr>
          <w:rFonts w:ascii="Arial" w:hAnsi="Arial" w:cs="Arial"/>
          <w:b/>
          <w:bCs/>
          <w:noProof/>
        </w:rPr>
      </w:pPr>
      <w:r w:rsidRPr="00214506">
        <w:rPr>
          <w:rFonts w:ascii="Arial" w:hAnsi="Arial" w:cs="Arial"/>
          <w:b/>
          <w:bCs/>
          <w:noProof/>
        </w:rPr>
        <w:t>Varianta:</w:t>
      </w:r>
    </w:p>
    <w:p w14:paraId="7A2709DA" w14:textId="6FE3FF54" w:rsidR="00214506" w:rsidRPr="00214506" w:rsidRDefault="00214506" w:rsidP="00B33382">
      <w:pPr>
        <w:spacing w:before="60"/>
        <w:jc w:val="both"/>
        <w:rPr>
          <w:rFonts w:ascii="Arial" w:hAnsi="Arial" w:cs="Arial"/>
          <w:b/>
          <w:bCs/>
          <w:noProof/>
        </w:rPr>
      </w:pPr>
      <w:r w:rsidRPr="00214506">
        <w:rPr>
          <w:rFonts w:ascii="Arial" w:hAnsi="Arial" w:cs="Arial"/>
          <w:b/>
          <w:bCs/>
          <w:noProof/>
        </w:rPr>
        <w:t>Nepovinná položka: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2C3DADC4" w14:textId="77777777" w:rsidR="00214506" w:rsidRDefault="00214506" w:rsidP="00375D92">
      <w:pPr>
        <w:pStyle w:val="Odstavecseseznamem"/>
        <w:spacing w:before="60"/>
        <w:jc w:val="both"/>
        <w:rPr>
          <w:rFonts w:ascii="Arial" w:hAnsi="Arial" w:cs="Arial"/>
          <w:noProof/>
        </w:rPr>
      </w:pPr>
    </w:p>
    <w:p w14:paraId="1596A675" w14:textId="77777777" w:rsidR="00214506" w:rsidRDefault="00214506" w:rsidP="00375D92">
      <w:pPr>
        <w:pStyle w:val="Odstavecseseznamem"/>
        <w:spacing w:before="60"/>
        <w:jc w:val="both"/>
        <w:rPr>
          <w:rFonts w:ascii="Arial" w:hAnsi="Arial" w:cs="Arial"/>
          <w:noProof/>
        </w:rPr>
      </w:pPr>
    </w:p>
    <w:p w14:paraId="0AD2354E" w14:textId="77777777" w:rsidR="000C1407" w:rsidRDefault="000C1407" w:rsidP="00375D92">
      <w:pPr>
        <w:pStyle w:val="Odstavecseseznamem"/>
        <w:spacing w:before="60"/>
        <w:jc w:val="both"/>
        <w:rPr>
          <w:rFonts w:ascii="Arial" w:hAnsi="Arial" w:cs="Arial"/>
          <w:noProof/>
        </w:rPr>
      </w:pPr>
    </w:p>
    <w:p w14:paraId="778F964F" w14:textId="77777777" w:rsidR="00214506" w:rsidRDefault="00214506"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30DC08DD" w:rsidR="00520039" w:rsidRPr="00EE5E43" w:rsidRDefault="00920537" w:rsidP="00B33382">
      <w:pPr>
        <w:spacing w:before="60"/>
        <w:jc w:val="both"/>
        <w:rPr>
          <w:rFonts w:ascii="Arial" w:hAnsi="Arial" w:cs="Arial"/>
          <w:noProof/>
        </w:rPr>
      </w:pPr>
      <w:r w:rsidRPr="00EE5E43">
        <w:rPr>
          <w:rFonts w:ascii="Arial" w:hAnsi="Arial" w:cs="Arial"/>
          <w:noProof/>
        </w:rPr>
        <w:lastRenderedPageBreak/>
        <w:t xml:space="preserve">Výška rozvaděče je </w:t>
      </w:r>
      <w:r w:rsidR="00490BE3">
        <w:rPr>
          <w:rFonts w:ascii="Arial" w:hAnsi="Arial" w:cs="Arial"/>
          <w:noProof/>
        </w:rPr>
        <w:t xml:space="preserve">maximálně </w:t>
      </w:r>
      <w:r w:rsidRPr="00EE5E43">
        <w:rPr>
          <w:rFonts w:ascii="Arial" w:hAnsi="Arial" w:cs="Arial"/>
          <w:noProof/>
        </w:rPr>
        <w:t>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242102" w:rsidRDefault="000F531E" w:rsidP="00B33382">
      <w:pPr>
        <w:spacing w:before="60"/>
        <w:jc w:val="both"/>
        <w:rPr>
          <w:rFonts w:ascii="Arial" w:hAnsi="Arial" w:cs="Arial"/>
          <w:b/>
          <w:bCs/>
          <w:noProof/>
        </w:rPr>
      </w:pPr>
      <w:r w:rsidRPr="00242102">
        <w:rPr>
          <w:rFonts w:ascii="Arial" w:hAnsi="Arial" w:cs="Arial"/>
          <w:b/>
          <w:bCs/>
          <w:noProof/>
        </w:rPr>
        <w:t>Varianta:</w:t>
      </w:r>
    </w:p>
    <w:p w14:paraId="0BE99705" w14:textId="6324AC0B" w:rsidR="00A167E6" w:rsidRPr="00242102" w:rsidRDefault="00A167E6" w:rsidP="00B33382">
      <w:pPr>
        <w:spacing w:before="60"/>
        <w:jc w:val="both"/>
        <w:rPr>
          <w:rFonts w:ascii="Arial" w:hAnsi="Arial" w:cs="Arial"/>
          <w:b/>
          <w:bCs/>
          <w:noProof/>
        </w:rPr>
      </w:pPr>
      <w:r w:rsidRPr="00242102">
        <w:rPr>
          <w:rFonts w:ascii="Arial" w:hAnsi="Arial" w:cs="Arial"/>
          <w:b/>
          <w:bCs/>
          <w:noProof/>
        </w:rPr>
        <w:t>Nepoviná položka:</w:t>
      </w:r>
    </w:p>
    <w:p w14:paraId="0C263431" w14:textId="373F9AFE"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490BE3">
        <w:rPr>
          <w:rFonts w:ascii="Arial" w:hAnsi="Arial" w:cs="Arial"/>
          <w:noProof/>
        </w:rPr>
        <w:t xml:space="preserve">standardní výška a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76D6ACB6" w14:textId="77777777" w:rsidR="00FF34B1" w:rsidRDefault="00FF34B1"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3676"/>
        <w:gridCol w:w="1336"/>
        <w:gridCol w:w="1073"/>
        <w:gridCol w:w="1406"/>
        <w:gridCol w:w="2139"/>
      </w:tblGrid>
      <w:tr w:rsidR="004D6DB2" w:rsidRPr="00814A87" w14:paraId="117902C0" w14:textId="77777777" w:rsidTr="00490BE3">
        <w:tc>
          <w:tcPr>
            <w:tcW w:w="3964"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418"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134"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417" w:type="dxa"/>
          </w:tcPr>
          <w:p w14:paraId="6B0CB94E" w14:textId="21F8F60C" w:rsidR="004D6DB2" w:rsidRPr="00814A87" w:rsidRDefault="004D6DB2" w:rsidP="002D406D">
            <w:pPr>
              <w:spacing w:before="60"/>
              <w:jc w:val="center"/>
              <w:rPr>
                <w:rFonts w:ascii="Arial" w:hAnsi="Arial" w:cs="Arial"/>
                <w:noProof/>
              </w:rPr>
            </w:pPr>
            <w:r w:rsidRPr="00814A87">
              <w:rPr>
                <w:rFonts w:ascii="Arial" w:hAnsi="Arial" w:cs="Arial"/>
                <w:noProof/>
              </w:rPr>
              <w:t>KKKT</w:t>
            </w:r>
            <w:r w:rsidR="00490BE3">
              <w:rPr>
                <w:rFonts w:ascii="Arial" w:hAnsi="Arial" w:cs="Arial"/>
                <w:noProof/>
              </w:rPr>
              <w:t>/KK</w:t>
            </w:r>
            <w:r w:rsidR="00F72C69">
              <w:rPr>
                <w:rFonts w:ascii="Arial" w:hAnsi="Arial" w:cs="Arial"/>
                <w:noProof/>
              </w:rPr>
              <w:t>KK</w:t>
            </w:r>
          </w:p>
        </w:tc>
        <w:tc>
          <w:tcPr>
            <w:tcW w:w="1697" w:type="dxa"/>
          </w:tcPr>
          <w:p w14:paraId="622DC8B0" w14:textId="61AFD7EE" w:rsidR="004D6DB2" w:rsidRPr="00814A87" w:rsidRDefault="004D6DB2" w:rsidP="002D406D">
            <w:pPr>
              <w:spacing w:before="60"/>
              <w:jc w:val="center"/>
              <w:rPr>
                <w:rFonts w:ascii="Arial" w:hAnsi="Arial" w:cs="Arial"/>
                <w:noProof/>
              </w:rPr>
            </w:pPr>
            <w:r w:rsidRPr="00814A87">
              <w:rPr>
                <w:rFonts w:ascii="Arial" w:hAnsi="Arial" w:cs="Arial"/>
                <w:noProof/>
              </w:rPr>
              <w:t>KKKTT</w:t>
            </w:r>
            <w:r w:rsidR="00490BE3">
              <w:rPr>
                <w:rFonts w:ascii="Arial" w:hAnsi="Arial" w:cs="Arial"/>
                <w:noProof/>
              </w:rPr>
              <w:t>/KKKKT</w:t>
            </w:r>
            <w:r w:rsidR="00F72C69">
              <w:rPr>
                <w:rFonts w:ascii="Arial" w:hAnsi="Arial" w:cs="Arial"/>
                <w:noProof/>
              </w:rPr>
              <w:t>/KKTT</w:t>
            </w:r>
          </w:p>
        </w:tc>
      </w:tr>
      <w:tr w:rsidR="004D6DB2" w:rsidRPr="00814A87" w14:paraId="042008A5" w14:textId="77777777" w:rsidTr="00490BE3">
        <w:tc>
          <w:tcPr>
            <w:tcW w:w="3964"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418" w:type="dxa"/>
          </w:tcPr>
          <w:p w14:paraId="2BECBD03" w14:textId="481854EB" w:rsidR="004D6DB2" w:rsidRPr="00214506" w:rsidRDefault="004D6DB2" w:rsidP="002D406D">
            <w:pPr>
              <w:spacing w:before="60"/>
              <w:jc w:val="center"/>
              <w:rPr>
                <w:rFonts w:ascii="Arial" w:hAnsi="Arial" w:cs="Arial"/>
                <w:noProof/>
                <w:highlight w:val="yellow"/>
              </w:rPr>
            </w:pPr>
            <w:r w:rsidRPr="00D73A9C">
              <w:rPr>
                <w:rFonts w:ascii="Arial" w:hAnsi="Arial" w:cs="Arial"/>
                <w:noProof/>
              </w:rPr>
              <w:t>820</w:t>
            </w:r>
          </w:p>
        </w:tc>
        <w:tc>
          <w:tcPr>
            <w:tcW w:w="1134" w:type="dxa"/>
          </w:tcPr>
          <w:p w14:paraId="341BF5B5" w14:textId="440E4E48" w:rsidR="004D6DB2" w:rsidRPr="00214506" w:rsidRDefault="004D6DB2" w:rsidP="002D406D">
            <w:pPr>
              <w:spacing w:before="60"/>
              <w:jc w:val="center"/>
              <w:rPr>
                <w:rFonts w:ascii="Arial" w:hAnsi="Arial" w:cs="Arial"/>
                <w:noProof/>
                <w:highlight w:val="yellow"/>
              </w:rPr>
            </w:pPr>
            <w:r w:rsidRPr="00D73A9C">
              <w:rPr>
                <w:rFonts w:ascii="Arial" w:hAnsi="Arial" w:cs="Arial"/>
                <w:noProof/>
              </w:rPr>
              <w:t>1</w:t>
            </w:r>
            <w:r w:rsidR="003941E4">
              <w:rPr>
                <w:rFonts w:ascii="Arial" w:hAnsi="Arial" w:cs="Arial"/>
                <w:noProof/>
              </w:rPr>
              <w:t>215</w:t>
            </w:r>
          </w:p>
        </w:tc>
        <w:tc>
          <w:tcPr>
            <w:tcW w:w="1417" w:type="dxa"/>
          </w:tcPr>
          <w:p w14:paraId="2FADDD86" w14:textId="69B88255" w:rsidR="004D6DB2" w:rsidRPr="00214506" w:rsidRDefault="00F72C69" w:rsidP="002D406D">
            <w:pPr>
              <w:spacing w:before="60"/>
              <w:jc w:val="center"/>
              <w:rPr>
                <w:rFonts w:ascii="Arial" w:hAnsi="Arial" w:cs="Arial"/>
                <w:noProof/>
                <w:highlight w:val="yellow"/>
              </w:rPr>
            </w:pPr>
            <w:r w:rsidRPr="00D73A9C">
              <w:rPr>
                <w:rFonts w:ascii="Arial" w:hAnsi="Arial" w:cs="Arial"/>
                <w:noProof/>
              </w:rPr>
              <w:t>1615</w:t>
            </w:r>
          </w:p>
        </w:tc>
        <w:tc>
          <w:tcPr>
            <w:tcW w:w="1697" w:type="dxa"/>
          </w:tcPr>
          <w:p w14:paraId="3C181D12" w14:textId="09EA861A" w:rsidR="004D6DB2" w:rsidRPr="00214506" w:rsidRDefault="00490BE3" w:rsidP="002D406D">
            <w:pPr>
              <w:spacing w:before="60"/>
              <w:jc w:val="center"/>
              <w:rPr>
                <w:rFonts w:ascii="Arial" w:hAnsi="Arial" w:cs="Arial"/>
                <w:noProof/>
                <w:highlight w:val="yellow"/>
              </w:rPr>
            </w:pPr>
            <w:r w:rsidRPr="00D73A9C">
              <w:rPr>
                <w:rFonts w:ascii="Arial" w:hAnsi="Arial" w:cs="Arial"/>
                <w:noProof/>
              </w:rPr>
              <w:t>21</w:t>
            </w:r>
            <w:r w:rsidR="004D6DB2" w:rsidRPr="00D73A9C">
              <w:rPr>
                <w:rFonts w:ascii="Arial" w:hAnsi="Arial" w:cs="Arial"/>
                <w:noProof/>
              </w:rPr>
              <w:t>00</w:t>
            </w:r>
          </w:p>
        </w:tc>
      </w:tr>
      <w:tr w:rsidR="004D6DB2" w14:paraId="4FF43468" w14:textId="77777777" w:rsidTr="00490BE3">
        <w:trPr>
          <w:trHeight w:val="56"/>
        </w:trPr>
        <w:tc>
          <w:tcPr>
            <w:tcW w:w="3964"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418" w:type="dxa"/>
          </w:tcPr>
          <w:p w14:paraId="606AA19F" w14:textId="442CF69B"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134" w:type="dxa"/>
          </w:tcPr>
          <w:p w14:paraId="75C72C05" w14:textId="21DF9ECD"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417" w:type="dxa"/>
          </w:tcPr>
          <w:p w14:paraId="74F0C528" w14:textId="62847A49" w:rsidR="004D6DB2" w:rsidRPr="00814A87" w:rsidRDefault="00490BE3" w:rsidP="002D406D">
            <w:pPr>
              <w:spacing w:before="60"/>
              <w:jc w:val="center"/>
              <w:rPr>
                <w:rFonts w:ascii="Arial" w:hAnsi="Arial" w:cs="Arial"/>
                <w:noProof/>
              </w:rPr>
            </w:pPr>
            <w:r>
              <w:rPr>
                <w:rFonts w:ascii="Arial" w:hAnsi="Arial" w:cs="Arial"/>
                <w:noProof/>
              </w:rPr>
              <w:t>800</w:t>
            </w:r>
          </w:p>
        </w:tc>
        <w:tc>
          <w:tcPr>
            <w:tcW w:w="1697" w:type="dxa"/>
          </w:tcPr>
          <w:p w14:paraId="53C88DC9" w14:textId="265EDDD8" w:rsidR="004D6DB2"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r>
      <w:tr w:rsidR="00490BE3" w14:paraId="423CEF14" w14:textId="77777777" w:rsidTr="00490BE3">
        <w:trPr>
          <w:trHeight w:val="56"/>
        </w:trPr>
        <w:tc>
          <w:tcPr>
            <w:tcW w:w="3964" w:type="dxa"/>
          </w:tcPr>
          <w:p w14:paraId="57D1520F" w14:textId="77777777" w:rsidR="00490BE3" w:rsidRDefault="00490BE3" w:rsidP="00B33382">
            <w:pPr>
              <w:spacing w:before="60"/>
              <w:jc w:val="both"/>
              <w:rPr>
                <w:rFonts w:ascii="Arial" w:hAnsi="Arial" w:cs="Arial"/>
                <w:noProof/>
              </w:rPr>
            </w:pPr>
            <w:r>
              <w:rPr>
                <w:rFonts w:ascii="Arial" w:hAnsi="Arial" w:cs="Arial"/>
                <w:noProof/>
              </w:rPr>
              <w:t>Max. instalační hloubka sestavy:</w:t>
            </w:r>
          </w:p>
          <w:p w14:paraId="68E47F7E" w14:textId="77777777" w:rsid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svodič přepětí</w:t>
            </w:r>
          </w:p>
          <w:p w14:paraId="277CB013" w14:textId="4C82D359" w:rsidR="00490BE3" w:rsidRP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senzor napětí</w:t>
            </w:r>
          </w:p>
        </w:tc>
        <w:tc>
          <w:tcPr>
            <w:tcW w:w="1418" w:type="dxa"/>
          </w:tcPr>
          <w:p w14:paraId="757BA297" w14:textId="687C2613" w:rsidR="00490BE3" w:rsidRDefault="00490BE3" w:rsidP="002D406D">
            <w:pPr>
              <w:spacing w:before="60"/>
              <w:jc w:val="center"/>
              <w:rPr>
                <w:rFonts w:ascii="Arial" w:hAnsi="Arial" w:cs="Arial"/>
                <w:noProof/>
              </w:rPr>
            </w:pPr>
            <w:r>
              <w:rPr>
                <w:rFonts w:ascii="Arial" w:hAnsi="Arial" w:cs="Arial"/>
                <w:noProof/>
              </w:rPr>
              <w:t>290</w:t>
            </w:r>
          </w:p>
        </w:tc>
        <w:tc>
          <w:tcPr>
            <w:tcW w:w="1134" w:type="dxa"/>
          </w:tcPr>
          <w:p w14:paraId="231964F5" w14:textId="3EE5AC85" w:rsidR="00490BE3" w:rsidRDefault="00490BE3" w:rsidP="002D406D">
            <w:pPr>
              <w:spacing w:before="60"/>
              <w:jc w:val="center"/>
              <w:rPr>
                <w:rFonts w:ascii="Arial" w:hAnsi="Arial" w:cs="Arial"/>
                <w:noProof/>
              </w:rPr>
            </w:pPr>
            <w:r>
              <w:rPr>
                <w:rFonts w:ascii="Arial" w:hAnsi="Arial" w:cs="Arial"/>
                <w:noProof/>
              </w:rPr>
              <w:t>290</w:t>
            </w:r>
          </w:p>
        </w:tc>
        <w:tc>
          <w:tcPr>
            <w:tcW w:w="1417" w:type="dxa"/>
          </w:tcPr>
          <w:p w14:paraId="2042C646" w14:textId="0C1852C5" w:rsidR="00490BE3" w:rsidRDefault="00490BE3" w:rsidP="002D406D">
            <w:pPr>
              <w:spacing w:before="60"/>
              <w:jc w:val="center"/>
              <w:rPr>
                <w:rFonts w:ascii="Arial" w:hAnsi="Arial" w:cs="Arial"/>
                <w:noProof/>
              </w:rPr>
            </w:pPr>
            <w:r>
              <w:rPr>
                <w:rFonts w:ascii="Arial" w:hAnsi="Arial" w:cs="Arial"/>
                <w:noProof/>
              </w:rPr>
              <w:t>290</w:t>
            </w:r>
          </w:p>
        </w:tc>
        <w:tc>
          <w:tcPr>
            <w:tcW w:w="1697" w:type="dxa"/>
          </w:tcPr>
          <w:p w14:paraId="3CBD38E8" w14:textId="1C2C0AFD" w:rsidR="00490BE3" w:rsidRDefault="00490BE3" w:rsidP="002D406D">
            <w:pPr>
              <w:spacing w:before="60"/>
              <w:jc w:val="center"/>
              <w:rPr>
                <w:rFonts w:ascii="Arial" w:hAnsi="Arial" w:cs="Arial"/>
                <w:noProof/>
              </w:rPr>
            </w:pPr>
            <w:r>
              <w:rPr>
                <w:rFonts w:ascii="Arial" w:hAnsi="Arial" w:cs="Arial"/>
                <w:noProof/>
              </w:rPr>
              <w:t>290</w:t>
            </w:r>
          </w:p>
        </w:tc>
      </w:tr>
    </w:tbl>
    <w:p w14:paraId="10D8F691" w14:textId="4116C498" w:rsidR="004D6DB2"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F4CEBC"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sign</w:t>
      </w:r>
      <w:r w:rsidR="002648C5">
        <w:rPr>
          <w:rFonts w:ascii="Arial" w:hAnsi="Arial" w:cs="Arial"/>
          <w:noProof/>
        </w:rPr>
        <w:t>a</w:t>
      </w:r>
      <w:r w:rsidR="00E52C69" w:rsidRPr="00EE5E43">
        <w:rPr>
          <w:rFonts w:ascii="Arial" w:hAnsi="Arial" w:cs="Arial"/>
          <w:noProof/>
        </w:rPr>
        <w:t>l</w:t>
      </w:r>
      <w:r w:rsidR="002648C5">
        <w:rPr>
          <w:rFonts w:ascii="Arial" w:hAnsi="Arial" w:cs="Arial"/>
          <w:noProof/>
        </w:rPr>
        <w:t>i</w:t>
      </w:r>
      <w:r w:rsidR="00E52C69" w:rsidRPr="00EE5E43">
        <w:rPr>
          <w:rFonts w:ascii="Arial" w:hAnsi="Arial" w:cs="Arial"/>
          <w:noProof/>
        </w:rPr>
        <w:t>z</w:t>
      </w:r>
      <w:r w:rsidR="002648C5">
        <w:rPr>
          <w:rFonts w:ascii="Arial" w:hAnsi="Arial" w:cs="Arial"/>
          <w:noProof/>
        </w:rPr>
        <w:t>a</w:t>
      </w:r>
      <w:r w:rsidR="00E52C69" w:rsidRPr="00EE5E43">
        <w:rPr>
          <w:rFonts w:ascii="Arial" w:hAnsi="Arial" w:cs="Arial"/>
          <w:noProof/>
        </w:rPr>
        <w:t xml:space="preserve">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33C6E271" w:rsidR="00920537" w:rsidRPr="00EE5E43" w:rsidRDefault="000D1157" w:rsidP="00490BE3">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w:t>
      </w:r>
      <w:r w:rsidR="00490BE3">
        <w:rPr>
          <w:rFonts w:ascii="Arial" w:hAnsi="Arial" w:cs="Arial"/>
          <w:noProof/>
        </w:rPr>
        <w:t xml:space="preserve">průměr třmenu </w:t>
      </w:r>
      <w:r w:rsidRPr="00EE5E43">
        <w:rPr>
          <w:rFonts w:ascii="Arial" w:hAnsi="Arial" w:cs="Arial"/>
          <w:noProof/>
        </w:rPr>
        <w:t xml:space="preserve">min </w:t>
      </w:r>
      <w:r w:rsidR="008C2A53" w:rsidRPr="00EE5E43">
        <w:rPr>
          <w:rFonts w:ascii="Arial" w:hAnsi="Arial" w:cs="Arial"/>
          <w:noProof/>
        </w:rPr>
        <w:t>Ø 10</w:t>
      </w:r>
      <w:r w:rsidRPr="00EE5E43">
        <w:rPr>
          <w:rFonts w:ascii="Arial" w:hAnsi="Arial" w:cs="Arial"/>
          <w:noProof/>
        </w:rPr>
        <w:t xml:space="preserve"> mm).</w:t>
      </w:r>
      <w:r w:rsidR="00490BE3" w:rsidRPr="00490BE3">
        <w:t xml:space="preserve"> </w:t>
      </w:r>
      <w:r w:rsidR="00490BE3" w:rsidRPr="00490BE3">
        <w:rPr>
          <w:rFonts w:ascii="Arial" w:hAnsi="Arial" w:cs="Arial"/>
          <w:noProof/>
        </w:rPr>
        <w:t xml:space="preserve">Jsou-li k ovládání použita tlačítka, musí být </w:t>
      </w:r>
      <w:r w:rsidR="00490BE3">
        <w:rPr>
          <w:rFonts w:ascii="Arial" w:hAnsi="Arial" w:cs="Arial"/>
          <w:noProof/>
        </w:rPr>
        <w:t xml:space="preserve">i </w:t>
      </w:r>
      <w:r w:rsidR="00490BE3" w:rsidRPr="00490BE3">
        <w:rPr>
          <w:rFonts w:ascii="Arial" w:hAnsi="Arial" w:cs="Arial"/>
          <w:noProof/>
        </w:rPr>
        <w:t>tato vybavena uzamykacím zařízením pro použití visacích zámků</w:t>
      </w:r>
      <w:r w:rsidR="00490BE3">
        <w:rPr>
          <w:rFonts w:ascii="Arial" w:hAnsi="Arial" w:cs="Arial"/>
          <w:noProof/>
        </w:rPr>
        <w:t>.</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lastRenderedPageBreak/>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lastRenderedPageBreak/>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5AA5ACF6"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VD</w:t>
      </w:r>
      <w:r w:rsidR="00224422">
        <w:rPr>
          <w:rFonts w:ascii="Arial" w:hAnsi="Arial" w:cs="Arial"/>
          <w:noProof/>
        </w:rPr>
        <w:t>I</w:t>
      </w:r>
      <w:r w:rsidR="00D45336" w:rsidRPr="00EE5E43">
        <w:rPr>
          <w:rFonts w:ascii="Arial" w:hAnsi="Arial" w:cs="Arial"/>
          <w:noProof/>
        </w:rPr>
        <w:t xml:space="preserve">S systému </w:t>
      </w:r>
      <w:r w:rsidRPr="00EE5E43">
        <w:rPr>
          <w:rFonts w:ascii="Arial" w:hAnsi="Arial" w:cs="Arial"/>
          <w:noProof/>
        </w:rPr>
        <w:t xml:space="preserve">podle ČSN EN </w:t>
      </w:r>
      <w:r w:rsidR="00224422">
        <w:rPr>
          <w:rFonts w:ascii="Arial" w:hAnsi="Arial" w:cs="Arial"/>
          <w:noProof/>
        </w:rPr>
        <w:t xml:space="preserve">IEC </w:t>
      </w:r>
      <w:r w:rsidRPr="00EE5E43">
        <w:rPr>
          <w:rFonts w:ascii="Arial" w:hAnsi="Arial" w:cs="Arial"/>
          <w:noProof/>
        </w:rPr>
        <w:t>6</w:t>
      </w:r>
      <w:r w:rsidR="00224422">
        <w:rPr>
          <w:rFonts w:ascii="Arial" w:hAnsi="Arial" w:cs="Arial"/>
          <w:noProof/>
        </w:rPr>
        <w:t>2271-213</w:t>
      </w:r>
      <w:r w:rsidR="006463DF" w:rsidRPr="00EE5E43">
        <w:rPr>
          <w:rFonts w:ascii="Arial" w:hAnsi="Arial" w:cs="Arial"/>
          <w:noProof/>
        </w:rPr>
        <w:t xml:space="preserve"> se zdířkami pro určení sledu fází</w:t>
      </w:r>
      <w:r w:rsidR="00AD4504">
        <w:rPr>
          <w:rFonts w:ascii="Arial" w:hAnsi="Arial" w:cs="Arial"/>
          <w:noProof/>
        </w:rPr>
        <w:t xml:space="preserve"> (dle ČSN EN IEC 62271-215)</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bezpečnost indikace pro operační napětí </w:t>
      </w:r>
      <w:r w:rsidR="004F11E6" w:rsidRPr="00EE5E43">
        <w:rPr>
          <w:rFonts w:ascii="Arial" w:hAnsi="Arial" w:cs="Arial"/>
          <w:noProof/>
        </w:rPr>
        <w:t xml:space="preserve">22 kV (25 kV). </w:t>
      </w:r>
      <w:r w:rsidR="00AD4504" w:rsidRPr="00AD4504">
        <w:rPr>
          <w:rFonts w:ascii="Arial" w:hAnsi="Arial" w:cs="Arial"/>
          <w:noProof/>
        </w:rPr>
        <w:t>Připojovací kabely integrovaného napěťového testovacího systému (VDIS) musí být stíněné.</w:t>
      </w:r>
      <w:r w:rsidR="00AD4504">
        <w:rPr>
          <w:rFonts w:ascii="Arial" w:hAnsi="Arial" w:cs="Arial"/>
          <w:noProof/>
        </w:rPr>
        <w:t xml:space="preserve"> </w:t>
      </w:r>
      <w:r w:rsidR="00B90EC5" w:rsidRPr="00EE5E43">
        <w:rPr>
          <w:rFonts w:ascii="Arial" w:hAnsi="Arial" w:cs="Arial"/>
        </w:rPr>
        <w:t>Měřící sensory systému detekce napětí jsou umístěny na průchodkách tanku s</w:t>
      </w:r>
      <w:r w:rsidR="00B4228A">
        <w:rPr>
          <w:rFonts w:ascii="Arial" w:hAnsi="Arial" w:cs="Arial"/>
        </w:rPr>
        <w:t> </w:t>
      </w:r>
      <w:r w:rsidR="00B90EC5" w:rsidRPr="00EE5E43">
        <w:rPr>
          <w:rFonts w:ascii="Arial" w:hAnsi="Arial" w:cs="Arial"/>
        </w:rPr>
        <w:t>plynem</w:t>
      </w:r>
      <w:r w:rsidR="00B4228A">
        <w:rPr>
          <w:rFonts w:ascii="Arial" w:hAnsi="Arial" w:cs="Arial"/>
        </w:rPr>
        <w:t>.</w:t>
      </w:r>
      <w:r w:rsidR="00E73AC4">
        <w:rPr>
          <w:rFonts w:ascii="Arial" w:hAnsi="Arial" w:cs="Arial"/>
        </w:rPr>
        <w:t xml:space="preserve"> </w:t>
      </w:r>
      <w:r w:rsidR="00AD4504" w:rsidRPr="00AD4504">
        <w:rPr>
          <w:rFonts w:ascii="Arial" w:hAnsi="Arial" w:cs="Arial"/>
        </w:rPr>
        <w:t xml:space="preserve">Integrované napěťové testovací systémy podle </w:t>
      </w:r>
      <w:r w:rsidR="00AD4504">
        <w:rPr>
          <w:rFonts w:ascii="Arial" w:hAnsi="Arial" w:cs="Arial"/>
        </w:rPr>
        <w:t>ČSN</w:t>
      </w:r>
      <w:r w:rsidR="00AD4504" w:rsidRPr="00AD4504">
        <w:rPr>
          <w:rFonts w:ascii="Arial" w:hAnsi="Arial" w:cs="Arial"/>
        </w:rPr>
        <w:t xml:space="preserve"> EN IEC 62271-213 pro zjištění nepřítomnosti napětí a pro porovnání fází musí splňovat kritéria pro eliminaci nutnosti opakovaného testování a indikovat shodu s podmínkami rozhraní na samostatném displeji.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4DFB91DE" w:rsidR="00540F1E" w:rsidRPr="00EE5E43" w:rsidRDefault="00540F1E" w:rsidP="00540F1E">
      <w:pPr>
        <w:spacing w:before="60"/>
        <w:jc w:val="both"/>
        <w:rPr>
          <w:rFonts w:ascii="Arial" w:hAnsi="Arial" w:cs="Arial"/>
          <w:noProof/>
        </w:rPr>
      </w:pPr>
      <w:r w:rsidRPr="00EE5E43">
        <w:rPr>
          <w:rFonts w:ascii="Arial" w:hAnsi="Arial" w:cs="Arial"/>
          <w:noProof/>
        </w:rPr>
        <w:t xml:space="preserve">Pole kabelového vývodu je v provedení s třípolohovým </w:t>
      </w:r>
      <w:r w:rsidR="00AD4504">
        <w:rPr>
          <w:rFonts w:ascii="Arial" w:hAnsi="Arial" w:cs="Arial"/>
          <w:noProof/>
        </w:rPr>
        <w:t>spína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w:t>
      </w:r>
      <w:r w:rsidR="00424BC5">
        <w:rPr>
          <w:rFonts w:ascii="Arial" w:hAnsi="Arial" w:cs="Arial"/>
          <w:noProof/>
        </w:rPr>
        <w:t xml:space="preserve"> s pružinovým pohonem a vypínací spouští (v případě použití vypínače)</w:t>
      </w:r>
      <w:r w:rsidRPr="00EE5E43">
        <w:rPr>
          <w:rFonts w:ascii="Arial" w:hAnsi="Arial" w:cs="Arial"/>
          <w:noProof/>
        </w:rPr>
        <w:t>.</w:t>
      </w:r>
      <w:r w:rsidR="00424BC5">
        <w:rPr>
          <w:rFonts w:ascii="Arial" w:hAnsi="Arial" w:cs="Arial"/>
          <w:noProof/>
        </w:rPr>
        <w:t xml:space="preserve"> </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570B8F80" w:rsidR="005831AD" w:rsidRPr="00EE5E43" w:rsidRDefault="007157D2" w:rsidP="005831AD">
      <w:pPr>
        <w:spacing w:before="60"/>
        <w:jc w:val="center"/>
        <w:rPr>
          <w:rFonts w:ascii="Arial" w:hAnsi="Arial" w:cs="Arial"/>
          <w:noProof/>
        </w:rPr>
      </w:pPr>
      <w:r>
        <w:rPr>
          <w:rFonts w:ascii="Arial" w:hAnsi="Arial" w:cs="Arial"/>
          <w:noProof/>
        </w:rPr>
        <w:drawing>
          <wp:inline distT="0" distB="0" distL="0" distR="0" wp14:anchorId="39541300" wp14:editId="4363644C">
            <wp:extent cx="1263650" cy="1930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lastRenderedPageBreak/>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0B9A99AD"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r w:rsidR="007157D2">
        <w:rPr>
          <w:rFonts w:ascii="Arial" w:hAnsi="Arial" w:cs="Arial"/>
          <w:noProof/>
        </w:rPr>
        <w:t xml:space="preserve"> </w:t>
      </w:r>
      <w:r w:rsidR="007157D2" w:rsidRPr="007157D2">
        <w:rPr>
          <w:rFonts w:ascii="Arial" w:hAnsi="Arial" w:cs="Arial"/>
          <w:noProof/>
        </w:rPr>
        <w:t>Vzdálenost od středu vnější kuželové průchodky k první příchytce kabelu je minimálně 400 mm. Vedení kabelu je směrem dolů.</w:t>
      </w:r>
    </w:p>
    <w:p w14:paraId="0471267E" w14:textId="487FFD33" w:rsidR="004A72A3" w:rsidRDefault="00D13507" w:rsidP="004A72A3">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r w:rsidR="004A72A3">
        <w:rPr>
          <w:rFonts w:ascii="Arial" w:hAnsi="Arial" w:cs="Arial"/>
          <w:noProof/>
        </w:rPr>
        <w:t xml:space="preserve"> Musí být možné přichycení kabelů o průměru 26 až 50 mm.</w:t>
      </w:r>
    </w:p>
    <w:p w14:paraId="0C263496" w14:textId="123E8B42" w:rsidR="00D13507" w:rsidRPr="00EE5E43" w:rsidRDefault="00B50AEC" w:rsidP="004A72A3">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30B3FFF7" w14:textId="77777777" w:rsidR="004A72A3" w:rsidRPr="00EE5E43" w:rsidRDefault="004A72A3"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4256596A" w:rsidR="00F32EE7" w:rsidRDefault="00AC7653" w:rsidP="00750F6B">
      <w:pPr>
        <w:spacing w:before="60"/>
        <w:jc w:val="both"/>
        <w:rPr>
          <w:rFonts w:ascii="Arial" w:hAnsi="Arial" w:cs="Arial"/>
          <w:noProof/>
        </w:rPr>
      </w:pPr>
      <w:r w:rsidRPr="00EE5E43">
        <w:rPr>
          <w:rFonts w:ascii="Arial" w:hAnsi="Arial" w:cs="Arial"/>
          <w:noProof/>
        </w:rPr>
        <w:t xml:space="preserve">Pole vývodu na transformátor je v provedení s třípolohovým </w:t>
      </w:r>
      <w:r w:rsidR="007157D2">
        <w:rPr>
          <w:rFonts w:ascii="Arial" w:hAnsi="Arial" w:cs="Arial"/>
          <w:noProof/>
        </w:rPr>
        <w:t>s</w:t>
      </w:r>
      <w:r w:rsidRPr="00EE5E43">
        <w:rPr>
          <w:rFonts w:ascii="Arial" w:hAnsi="Arial" w:cs="Arial"/>
          <w:noProof/>
        </w:rPr>
        <w:t>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w:t>
      </w:r>
      <w:r w:rsidR="007157D2">
        <w:rPr>
          <w:rFonts w:ascii="Arial" w:hAnsi="Arial" w:cs="Arial"/>
          <w:noProof/>
        </w:rPr>
        <w:t xml:space="preserve">spínače </w:t>
      </w:r>
      <w:r w:rsidR="00F32EE7" w:rsidRPr="00EE5E43">
        <w:rPr>
          <w:rFonts w:ascii="Arial" w:hAnsi="Arial" w:cs="Arial"/>
          <w:noProof/>
        </w:rPr>
        <w:t xml:space="preserve">musí být vybaven střadačovým </w:t>
      </w:r>
      <w:r w:rsidR="007157D2">
        <w:rPr>
          <w:rFonts w:ascii="Arial" w:hAnsi="Arial" w:cs="Arial"/>
          <w:noProof/>
        </w:rPr>
        <w:t xml:space="preserve">ručním </w:t>
      </w:r>
      <w:r w:rsidR="00F32EE7" w:rsidRPr="00EE5E43">
        <w:rPr>
          <w:rFonts w:ascii="Arial" w:hAnsi="Arial" w:cs="Arial"/>
          <w:noProof/>
        </w:rPr>
        <w:t xml:space="preserve">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4A72A3">
        <w:rPr>
          <w:rFonts w:ascii="Arial" w:hAnsi="Arial" w:cs="Arial"/>
          <w:noProof/>
        </w:rPr>
        <w:t xml:space="preserve">V případě použití vypínače, je nutná vypínací spoušť.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w:t>
      </w:r>
      <w:r w:rsidR="007157D2">
        <w:rPr>
          <w:rFonts w:ascii="Arial" w:hAnsi="Arial" w:cs="Arial"/>
          <w:noProof/>
        </w:rPr>
        <w:t>s</w:t>
      </w:r>
      <w:r w:rsidR="007D78F7" w:rsidRPr="00EE5E43">
        <w:rPr>
          <w:rFonts w:ascii="Arial" w:hAnsi="Arial" w:cs="Arial"/>
          <w:noProof/>
        </w:rPr>
        <w:t xml:space="preserve">pínače. </w:t>
      </w:r>
      <w:r w:rsidRPr="00EE5E43">
        <w:rPr>
          <w:rFonts w:ascii="Arial" w:hAnsi="Arial" w:cs="Arial"/>
          <w:noProof/>
        </w:rPr>
        <w:t xml:space="preserve">Interakce mezi </w:t>
      </w:r>
      <w:r w:rsidR="007157D2">
        <w:rPr>
          <w:rFonts w:ascii="Arial" w:hAnsi="Arial" w:cs="Arial"/>
          <w:noProof/>
        </w:rPr>
        <w:t>s</w:t>
      </w:r>
      <w:r w:rsidRPr="00EE5E43">
        <w:rPr>
          <w:rFonts w:ascii="Arial" w:hAnsi="Arial" w:cs="Arial"/>
          <w:noProof/>
        </w:rPr>
        <w:t>pínačem a pojistkou odpovídá normě ČSN EN 62271-105.</w:t>
      </w:r>
      <w:r w:rsidR="004A72A3">
        <w:rPr>
          <w:rFonts w:ascii="Arial" w:hAnsi="Arial" w:cs="Arial"/>
          <w:noProof/>
        </w:rPr>
        <w:t xml:space="preserve"> </w:t>
      </w:r>
      <w:r w:rsidR="00F32EE7" w:rsidRPr="00EE5E43">
        <w:rPr>
          <w:rFonts w:ascii="Arial" w:hAnsi="Arial" w:cs="Arial"/>
          <w:noProof/>
        </w:rPr>
        <w:t xml:space="preserve"> </w:t>
      </w: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5EF83B2"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r w:rsidR="007157D2">
        <w:rPr>
          <w:rFonts w:ascii="Arial" w:hAnsi="Arial" w:cs="Arial"/>
          <w:noProof/>
        </w:rPr>
        <w:t xml:space="preserve"> Uzemňovač před i za pojistkou je ovládán společně jedním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1B458B90" w:rsidR="00565780" w:rsidRPr="00EE5E43" w:rsidRDefault="00565780" w:rsidP="00565780">
      <w:pPr>
        <w:spacing w:before="60"/>
        <w:jc w:val="both"/>
        <w:rPr>
          <w:rFonts w:ascii="Arial" w:hAnsi="Arial" w:cs="Arial"/>
          <w:noProof/>
        </w:rPr>
      </w:pPr>
      <w:r w:rsidRPr="00EE5E43">
        <w:rPr>
          <w:rFonts w:ascii="Arial" w:hAnsi="Arial" w:cs="Arial"/>
          <w:noProof/>
        </w:rPr>
        <w:t xml:space="preserve">Pouzdra pro pojistky (komory) </w:t>
      </w:r>
      <w:r w:rsidR="007157D2">
        <w:rPr>
          <w:rFonts w:ascii="Arial" w:hAnsi="Arial" w:cs="Arial"/>
          <w:noProof/>
        </w:rPr>
        <w:t>jsou</w:t>
      </w:r>
      <w:r w:rsidRPr="00EE5E43">
        <w:rPr>
          <w:rFonts w:ascii="Arial" w:hAnsi="Arial" w:cs="Arial"/>
          <w:noProof/>
        </w:rPr>
        <w:t xml:space="preserve"> umístěny mimo nádobu</w:t>
      </w:r>
      <w:r w:rsidR="007157D2">
        <w:rPr>
          <w:rFonts w:ascii="Arial" w:hAnsi="Arial" w:cs="Arial"/>
          <w:noProof/>
        </w:rPr>
        <w:t xml:space="preserve"> s plynem</w:t>
      </w:r>
      <w:r w:rsidRPr="00EE5E43">
        <w:rPr>
          <w:rFonts w:ascii="Arial" w:hAnsi="Arial" w:cs="Arial"/>
          <w:noProof/>
        </w:rPr>
        <w:t>.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a kontak</w:t>
      </w:r>
      <w:r w:rsidR="001903FB">
        <w:rPr>
          <w:rFonts w:ascii="Arial" w:hAnsi="Arial" w:cs="Arial"/>
          <w:noProof/>
        </w:rPr>
        <w:t>t</w:t>
      </w:r>
      <w:r w:rsidR="000710EB" w:rsidRPr="00EE5E43">
        <w:rPr>
          <w:rFonts w:ascii="Arial" w:hAnsi="Arial" w:cs="Arial"/>
          <w:noProof/>
        </w:rPr>
        <w:t xml:space="preserve">y musí mít </w:t>
      </w:r>
      <w:r w:rsidR="00E3272B" w:rsidRPr="00EE5E43">
        <w:rPr>
          <w:rFonts w:ascii="Arial" w:hAnsi="Arial" w:cs="Arial"/>
          <w:noProof/>
        </w:rPr>
        <w:t>ochranu</w:t>
      </w:r>
      <w:r w:rsidRPr="00EE5E43">
        <w:rPr>
          <w:rFonts w:ascii="Arial" w:hAnsi="Arial" w:cs="Arial"/>
          <w:noProof/>
        </w:rPr>
        <w:t xml:space="preserve"> proti korozi. </w:t>
      </w:r>
    </w:p>
    <w:p w14:paraId="0C2634A6" w14:textId="0987B470" w:rsidR="00565780"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3621EA34" w14:textId="6870684B" w:rsidR="00424BC5" w:rsidRPr="00EE5E43" w:rsidRDefault="00424BC5" w:rsidP="00565780">
      <w:pPr>
        <w:spacing w:before="60"/>
        <w:jc w:val="both"/>
        <w:rPr>
          <w:rFonts w:ascii="Arial" w:hAnsi="Arial" w:cs="Arial"/>
          <w:noProof/>
        </w:rPr>
      </w:pPr>
      <w:r w:rsidRPr="00424BC5">
        <w:rPr>
          <w:rFonts w:ascii="Arial" w:hAnsi="Arial" w:cs="Arial"/>
          <w:noProof/>
        </w:rPr>
        <w:t xml:space="preserve">Výměna pojistkových vložek </w:t>
      </w:r>
      <w:r>
        <w:rPr>
          <w:rFonts w:ascii="Arial" w:hAnsi="Arial" w:cs="Arial"/>
          <w:noProof/>
        </w:rPr>
        <w:t>IEC m</w:t>
      </w:r>
      <w:r w:rsidRPr="00424BC5">
        <w:rPr>
          <w:rFonts w:ascii="Arial" w:hAnsi="Arial" w:cs="Arial"/>
          <w:noProof/>
        </w:rPr>
        <w:t xml:space="preserve">usí být možná snadno bez izolačních pomůcek a bez uvolnění kabelových </w:t>
      </w:r>
      <w:r>
        <w:rPr>
          <w:rFonts w:ascii="Arial" w:hAnsi="Arial" w:cs="Arial"/>
          <w:noProof/>
        </w:rPr>
        <w:t>konektorů.</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009C32F0" w:rsidR="00AC3C40" w:rsidRDefault="00565780" w:rsidP="00565780">
      <w:pPr>
        <w:spacing w:before="60"/>
        <w:jc w:val="both"/>
        <w:rPr>
          <w:rFonts w:ascii="Arial" w:hAnsi="Arial" w:cs="Arial"/>
          <w:noProof/>
        </w:rPr>
      </w:pPr>
      <w:r w:rsidRPr="00EE5E43">
        <w:rPr>
          <w:rFonts w:ascii="Arial" w:hAnsi="Arial" w:cs="Arial"/>
          <w:noProof/>
        </w:rPr>
        <w:lastRenderedPageBreak/>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35ACAA0" w14:textId="6F862D60" w:rsidR="007157D2" w:rsidRDefault="007157D2" w:rsidP="007157D2">
      <w:pPr>
        <w:spacing w:before="60"/>
        <w:jc w:val="both"/>
        <w:rPr>
          <w:rFonts w:ascii="Arial" w:hAnsi="Arial" w:cs="Arial"/>
          <w:noProof/>
        </w:rPr>
      </w:pPr>
      <w:r w:rsidRPr="007157D2">
        <w:rPr>
          <w:rFonts w:ascii="Arial" w:hAnsi="Arial" w:cs="Arial"/>
          <w:noProof/>
        </w:rPr>
        <w:t xml:space="preserve">Spouštěcí mechanismus pro </w:t>
      </w:r>
      <w:r>
        <w:rPr>
          <w:rFonts w:ascii="Arial" w:hAnsi="Arial" w:cs="Arial"/>
          <w:noProof/>
        </w:rPr>
        <w:t xml:space="preserve">třípolové vypnutí při vybavení jedné z pojistek </w:t>
      </w:r>
      <w:r w:rsidRPr="007157D2">
        <w:rPr>
          <w:rFonts w:ascii="Arial" w:hAnsi="Arial" w:cs="Arial"/>
          <w:noProof/>
        </w:rPr>
        <w:t>musí být umístěn směrem dopředu</w:t>
      </w:r>
      <w:r>
        <w:rPr>
          <w:rFonts w:ascii="Arial" w:hAnsi="Arial" w:cs="Arial"/>
          <w:noProof/>
        </w:rPr>
        <w:t xml:space="preserve"> k obsluze, když je pouzdro na pojistky </w:t>
      </w:r>
      <w:r w:rsidRPr="007157D2">
        <w:rPr>
          <w:rFonts w:ascii="Arial" w:hAnsi="Arial" w:cs="Arial"/>
          <w:noProof/>
        </w:rPr>
        <w:t>uspořádán</w:t>
      </w:r>
      <w:r>
        <w:rPr>
          <w:rFonts w:ascii="Arial" w:hAnsi="Arial" w:cs="Arial"/>
          <w:noProof/>
        </w:rPr>
        <w:t>o</w:t>
      </w:r>
      <w:r w:rsidRPr="007157D2">
        <w:rPr>
          <w:rFonts w:ascii="Arial" w:hAnsi="Arial" w:cs="Arial"/>
          <w:noProof/>
        </w:rPr>
        <w:t xml:space="preserve"> vodorovně,</w:t>
      </w:r>
      <w:r>
        <w:rPr>
          <w:rFonts w:ascii="Arial" w:hAnsi="Arial" w:cs="Arial"/>
          <w:noProof/>
        </w:rPr>
        <w:t xml:space="preserve"> </w:t>
      </w:r>
      <w:r w:rsidRPr="007157D2">
        <w:rPr>
          <w:rFonts w:ascii="Arial" w:hAnsi="Arial" w:cs="Arial"/>
          <w:noProof/>
        </w:rPr>
        <w:t xml:space="preserve">a směrem nahoru, pokud je </w:t>
      </w:r>
      <w:r>
        <w:rPr>
          <w:rFonts w:ascii="Arial" w:hAnsi="Arial" w:cs="Arial"/>
          <w:noProof/>
        </w:rPr>
        <w:t xml:space="preserve">pouzdro </w:t>
      </w:r>
      <w:r w:rsidRPr="007157D2">
        <w:rPr>
          <w:rFonts w:ascii="Arial" w:hAnsi="Arial" w:cs="Arial"/>
          <w:noProof/>
        </w:rPr>
        <w:t>vertikálně.</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V kabelovém prostoru musí být prostor pro instalaci konektoru o zástavbové hloubce min.170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lastRenderedPageBreak/>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tohoto požadavku musí být možná montáž stíněného konektoru včetně omezovače přepětí s celkovou délkou 290 mm. </w:t>
      </w:r>
    </w:p>
    <w:p w14:paraId="0C2634C1" w14:textId="631E9B5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w:t>
      </w:r>
      <w:r w:rsidR="000737E0">
        <w:rPr>
          <w:rFonts w:ascii="Arial" w:hAnsi="Arial" w:cs="Arial"/>
          <w:noProof/>
        </w:rPr>
        <w:t>ho</w:t>
      </w:r>
      <w:r w:rsidRPr="00EE5E43">
        <w:rPr>
          <w:rFonts w:ascii="Arial" w:hAnsi="Arial" w:cs="Arial"/>
          <w:noProof/>
        </w:rPr>
        <w:t xml:space="preserve"> prostoru (krytem bez přesahu kabelového prostoru, bez zvětšení půdorysu rozvaděče).</w:t>
      </w:r>
    </w:p>
    <w:p w14:paraId="0C2634C2" w14:textId="36DA9C44" w:rsidR="005E310E"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7BA9B3D7" w14:textId="58F5DCC1" w:rsidR="007E230F" w:rsidRPr="00EE5E43" w:rsidRDefault="007E230F" w:rsidP="007E230F">
      <w:pPr>
        <w:spacing w:before="60"/>
        <w:jc w:val="center"/>
        <w:rPr>
          <w:rFonts w:ascii="Arial" w:hAnsi="Arial" w:cs="Arial"/>
          <w:noProof/>
        </w:rPr>
      </w:pPr>
      <w:r>
        <w:rPr>
          <w:rFonts w:ascii="Arial" w:hAnsi="Arial" w:cs="Arial"/>
          <w:noProof/>
        </w:rPr>
        <w:drawing>
          <wp:inline distT="0" distB="0" distL="0" distR="0" wp14:anchorId="6B22CDAC" wp14:editId="31393F77">
            <wp:extent cx="1263650" cy="1930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C3" w14:textId="25B8296C" w:rsidR="005E310E" w:rsidRPr="00EE5E43" w:rsidRDefault="005E310E" w:rsidP="005E310E">
      <w:pPr>
        <w:spacing w:before="60"/>
        <w:jc w:val="center"/>
        <w:rPr>
          <w:rFonts w:ascii="Arial" w:hAnsi="Arial" w:cs="Arial"/>
          <w:noProof/>
        </w:rPr>
      </w:pP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7A22B0EB" w14:textId="658632AA" w:rsidR="007E230F" w:rsidRPr="00EE5E43" w:rsidRDefault="005E310E" w:rsidP="007E230F">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B20B6F">
        <w:rPr>
          <w:rFonts w:ascii="Arial" w:hAnsi="Arial" w:cs="Arial"/>
          <w:noProof/>
        </w:rPr>
        <w:t>26</w:t>
      </w:r>
      <w:r w:rsidRPr="00EE5E43">
        <w:rPr>
          <w:rFonts w:ascii="Arial" w:hAnsi="Arial" w:cs="Arial"/>
          <w:noProof/>
        </w:rPr>
        <w:t xml:space="preserve"> -50 mm. Kabelové držáky jsou upevněné k železnému nosníku (kabelové liště) pomocí šroubů. Nosník (kabelová lišta) musí být nastavitelná jak výškově, tak do hloubky a musí být uzemněná.</w:t>
      </w:r>
      <w:r w:rsidR="007E230F" w:rsidRPr="007E230F">
        <w:rPr>
          <w:rFonts w:ascii="Arial" w:hAnsi="Arial" w:cs="Arial"/>
          <w:noProof/>
        </w:rPr>
        <w:t xml:space="preserve"> </w:t>
      </w:r>
      <w:r w:rsidR="007E230F" w:rsidRPr="007157D2">
        <w:rPr>
          <w:rFonts w:ascii="Arial" w:hAnsi="Arial" w:cs="Arial"/>
          <w:noProof/>
        </w:rPr>
        <w:t>Vzdálenost od středu vnější kuželové průchodky k první příchytce kabelu je minimálně 400 mm. Vedení kabelu je směrem dolů.</w:t>
      </w:r>
    </w:p>
    <w:p w14:paraId="13A659BC" w14:textId="2F939469" w:rsidR="007E230F" w:rsidRDefault="005E310E" w:rsidP="007E230F">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r w:rsidR="007E230F" w:rsidRPr="007E230F">
        <w:rPr>
          <w:rFonts w:ascii="Arial" w:hAnsi="Arial" w:cs="Arial"/>
          <w:noProof/>
        </w:rPr>
        <w:t xml:space="preserve"> </w:t>
      </w:r>
      <w:r w:rsidR="007E230F">
        <w:rPr>
          <w:rFonts w:ascii="Arial" w:hAnsi="Arial" w:cs="Arial"/>
          <w:noProof/>
        </w:rPr>
        <w:t>Musí být mmožné přichycení kabelů o průměru 26 až 50 mm.</w:t>
      </w: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lastRenderedPageBreak/>
        <w:t>Připojení pro testování nebo pro lokalizaci místa poruchy na kabelovém vedení musí být možné v uzemněném stavu připojeného kabelového vedení.</w:t>
      </w:r>
    </w:p>
    <w:p w14:paraId="05E4C219" w14:textId="2037A6F1" w:rsidR="006B650D" w:rsidRPr="00EE5E43"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C2634CF" w14:textId="21F26AB4"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r w:rsidR="005F230E" w:rsidRPr="00A17BF6">
        <w:rPr>
          <w:rFonts w:ascii="Arial" w:hAnsi="Arial" w:cs="Arial"/>
          <w:b/>
          <w:i/>
          <w:iCs/>
          <w:noProof/>
        </w:rPr>
        <w:t>(v případě, že bude součástí nabídky)</w:t>
      </w:r>
    </w:p>
    <w:p w14:paraId="0C2634D0" w14:textId="5AE43669"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rPr>
        <w:t>, prostor pro montáž MTP a MTN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r w:rsidR="002463DA">
        <w:rPr>
          <w:rFonts w:ascii="Arial" w:hAnsi="Arial" w:cs="Arial"/>
          <w:noProof/>
        </w:rPr>
        <w:t xml:space="preserve"> V poli měření musí být zkratové body pro instalaci zkratovací soupravy pro zajištění pracoviště.</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09747D9" w:rsidR="00B90EC5" w:rsidRPr="00EE5E43" w:rsidRDefault="00B90EC5" w:rsidP="00B90EC5">
      <w:pPr>
        <w:spacing w:before="120" w:after="120"/>
      </w:pPr>
      <w:r w:rsidRPr="00EE5E43">
        <w:rPr>
          <w:rFonts w:ascii="Arial" w:hAnsi="Arial" w:cs="Arial"/>
        </w:rPr>
        <w:t>Pole měření bude vybaveno systémem detekce napětí dle 3.3.7.5</w:t>
      </w:r>
      <w:r w:rsidR="008A0B28">
        <w:rPr>
          <w:rFonts w:ascii="Arial" w:hAnsi="Arial" w:cs="Arial"/>
        </w:rPr>
        <w:t>.</w:t>
      </w:r>
      <w:r w:rsidRPr="00EE5E43">
        <w:rPr>
          <w:rFonts w:ascii="Arial" w:hAnsi="Arial" w:cs="Arial"/>
        </w:rPr>
        <w:t xml:space="preserve"> </w:t>
      </w:r>
      <w:r w:rsidR="008A0B28">
        <w:rPr>
          <w:rFonts w:ascii="Arial" w:hAnsi="Arial" w:cs="Arial"/>
        </w:rPr>
        <w:t>Rovněž bude vybaveno</w:t>
      </w:r>
      <w:r w:rsidRPr="00EE5E43">
        <w:rPr>
          <w:rFonts w:ascii="Arial" w:hAnsi="Arial" w:cs="Arial"/>
        </w:rPr>
        <w:t xml:space="preserve"> systémem sledování tlaku </w:t>
      </w:r>
      <w:r w:rsidR="009A5DAE">
        <w:rPr>
          <w:rFonts w:ascii="Arial" w:hAnsi="Arial" w:cs="Arial"/>
        </w:rPr>
        <w:t xml:space="preserve">izolačního </w:t>
      </w:r>
      <w:r w:rsidRPr="00EE5E43">
        <w:rPr>
          <w:rFonts w:ascii="Arial" w:hAnsi="Arial" w:cs="Arial"/>
        </w:rPr>
        <w:t>plynu v hermeticky uzavřené nádobě dle 3.3.7.6.</w:t>
      </w:r>
      <w:r w:rsidR="00507D0F">
        <w:rPr>
          <w:rFonts w:ascii="Arial" w:hAnsi="Arial" w:cs="Arial"/>
        </w:rPr>
        <w:t xml:space="preserve">, pokud je </w:t>
      </w:r>
      <w:r w:rsidR="00493F6C">
        <w:rPr>
          <w:rFonts w:ascii="Arial" w:hAnsi="Arial" w:cs="Arial"/>
        </w:rPr>
        <w:t xml:space="preserve">systém přípojnic </w:t>
      </w:r>
      <w:r w:rsidR="0049069B">
        <w:rPr>
          <w:rFonts w:ascii="Arial" w:hAnsi="Arial" w:cs="Arial"/>
        </w:rPr>
        <w:t>izolovaný plynem</w:t>
      </w:r>
      <w:r w:rsidR="008A0B28">
        <w:rPr>
          <w:rFonts w:ascii="Arial" w:hAnsi="Arial" w:cs="Arial"/>
        </w:rPr>
        <w:t xml:space="preserve"> v uzavřené nádobě.</w:t>
      </w: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2231CE2"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w:t>
      </w:r>
      <w:r w:rsidR="007E230F">
        <w:rPr>
          <w:rFonts w:ascii="Arial" w:hAnsi="Arial" w:cs="Arial"/>
          <w:noProof/>
        </w:rPr>
        <w:t>, hodnotu GWP</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6F1613"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r w:rsidR="007E230F">
        <w:rPr>
          <w:rFonts w:ascii="Arial" w:hAnsi="Arial" w:cs="Arial"/>
          <w:noProof/>
        </w:rPr>
        <w:t xml:space="preserve"> a 573/2024.</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04DF712B"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r w:rsidR="003B3CFB">
        <w:rPr>
          <w:rFonts w:ascii="Arial" w:hAnsi="Arial" w:cs="Arial"/>
          <w:b/>
          <w:noProof/>
        </w:rPr>
        <w:t xml:space="preserve"> </w:t>
      </w:r>
      <w:r w:rsidR="003B3CFB" w:rsidRPr="00A17BF6">
        <w:rPr>
          <w:rFonts w:ascii="Arial" w:hAnsi="Arial" w:cs="Arial"/>
          <w:b/>
          <w:i/>
          <w:iCs/>
          <w:noProof/>
        </w:rPr>
        <w:t>(v případě, že bude součástí nabídky)</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 xml:space="preserve">50 </w:t>
            </w:r>
            <w:proofErr w:type="spellStart"/>
            <w:r w:rsidRPr="7238362C">
              <w:rPr>
                <w:rFonts w:ascii="Arial" w:hAnsi="Arial" w:cs="Arial"/>
              </w:rPr>
              <w:t>kV</w:t>
            </w:r>
            <w:proofErr w:type="spellEnd"/>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 xml:space="preserve">125 </w:t>
            </w:r>
            <w:proofErr w:type="spellStart"/>
            <w:r w:rsidRPr="7238362C">
              <w:rPr>
                <w:rFonts w:ascii="Arial" w:hAnsi="Arial" w:cs="Arial"/>
              </w:rPr>
              <w:t>kV</w:t>
            </w:r>
            <w:proofErr w:type="spellEnd"/>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 xml:space="preserve">22 </w:t>
            </w:r>
            <w:proofErr w:type="spellStart"/>
            <w:r w:rsidRPr="7238362C">
              <w:rPr>
                <w:rFonts w:ascii="Arial" w:hAnsi="Arial" w:cs="Arial"/>
              </w:rPr>
              <w:t>kV</w:t>
            </w:r>
            <w:proofErr w:type="spellEnd"/>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006B0075" w14:paraId="575DBBCA" w14:textId="77777777" w:rsidTr="00FE7065">
        <w:trPr>
          <w:trHeight w:val="300"/>
        </w:trPr>
        <w:tc>
          <w:tcPr>
            <w:tcW w:w="9630" w:type="dxa"/>
            <w:gridSpan w:val="2"/>
          </w:tcPr>
          <w:p w14:paraId="3026B0EA" w14:textId="46838A3C" w:rsidR="006B0075" w:rsidRPr="7238362C" w:rsidRDefault="006B6F94" w:rsidP="00022FB3">
            <w:pPr>
              <w:spacing w:before="60" w:line="276" w:lineRule="auto"/>
              <w:jc w:val="both"/>
              <w:rPr>
                <w:rFonts w:ascii="Arial" w:hAnsi="Arial" w:cs="Arial"/>
                <w:noProof/>
              </w:rPr>
            </w:pPr>
            <w:r>
              <w:rPr>
                <w:rFonts w:ascii="Arial" w:hAnsi="Arial" w:cs="Arial"/>
                <w:noProof/>
              </w:rPr>
              <w:t>Kulové zkratovací body (průměr 20 mm) pro připojení zkratovací soupravy</w:t>
            </w:r>
          </w:p>
        </w:tc>
      </w:tr>
      <w:tr w:rsidR="7238362C" w14:paraId="68660E9A" w14:textId="77777777" w:rsidTr="7238362C">
        <w:trPr>
          <w:trHeight w:val="300"/>
        </w:trPr>
        <w:tc>
          <w:tcPr>
            <w:tcW w:w="9630" w:type="dxa"/>
            <w:gridSpan w:val="2"/>
          </w:tcPr>
          <w:p w14:paraId="09EDD493" w14:textId="5969FF3E" w:rsidR="5FBA7E45" w:rsidRDefault="5FBA7E45" w:rsidP="7238362C">
            <w:pPr>
              <w:tabs>
                <w:tab w:val="left" w:pos="4678"/>
              </w:tabs>
              <w:spacing w:before="60" w:line="276" w:lineRule="auto"/>
              <w:jc w:val="both"/>
              <w:rPr>
                <w:rFonts w:ascii="Arial" w:hAnsi="Arial" w:cs="Arial"/>
                <w:noProof/>
              </w:rPr>
            </w:pPr>
            <w:r w:rsidRPr="7238362C">
              <w:rPr>
                <w:rFonts w:ascii="Arial" w:hAnsi="Arial" w:cs="Arial"/>
                <w:noProof/>
              </w:rPr>
              <w:t>Za</w:t>
            </w:r>
            <w:r w:rsidR="002155B2">
              <w:rPr>
                <w:rFonts w:ascii="Arial" w:hAnsi="Arial" w:cs="Arial"/>
                <w:noProof/>
              </w:rPr>
              <w:t>ř</w:t>
            </w:r>
            <w:r w:rsidRPr="7238362C">
              <w:rPr>
                <w:rFonts w:ascii="Arial" w:hAnsi="Arial" w:cs="Arial"/>
                <w:noProof/>
              </w:rPr>
              <w:t>ízení  pro omezení ferorezonance</w:t>
            </w:r>
          </w:p>
        </w:tc>
      </w:tr>
    </w:tbl>
    <w:p w14:paraId="0C263535" w14:textId="0837EC06" w:rsidR="0037318E" w:rsidRDefault="0037318E" w:rsidP="7238362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ED8AE7A" w14:textId="77777777" w:rsidR="007453B7" w:rsidRDefault="007453B7" w:rsidP="009041E8">
      <w:pPr>
        <w:spacing w:before="60"/>
        <w:jc w:val="both"/>
        <w:rPr>
          <w:rFonts w:ascii="Arial" w:hAnsi="Arial" w:cs="Arial"/>
          <w:b/>
          <w:bCs/>
          <w:noProof/>
        </w:rPr>
      </w:pPr>
    </w:p>
    <w:p w14:paraId="0C263554" w14:textId="0AC6FCB0" w:rsidR="0037318E" w:rsidRPr="003A1A24" w:rsidRDefault="007453B7" w:rsidP="009041E8">
      <w:pPr>
        <w:spacing w:before="60"/>
        <w:jc w:val="both"/>
        <w:rPr>
          <w:rFonts w:ascii="Arial" w:hAnsi="Arial" w:cs="Arial"/>
          <w:b/>
          <w:bCs/>
          <w:noProof/>
        </w:rPr>
      </w:pPr>
      <w:r w:rsidRPr="00214506">
        <w:rPr>
          <w:rFonts w:ascii="Arial" w:hAnsi="Arial" w:cs="Arial"/>
          <w:b/>
          <w:bCs/>
          <w:noProof/>
        </w:rPr>
        <w:t>Nepovinná položka:</w:t>
      </w: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4409153D" w:rsidR="00F47E6D" w:rsidRPr="00815331" w:rsidRDefault="008B63F9" w:rsidP="00F47E6D">
      <w:pPr>
        <w:spacing w:before="60"/>
        <w:jc w:val="both"/>
        <w:rPr>
          <w:rFonts w:ascii="Arial" w:hAnsi="Arial" w:cs="Arial"/>
          <w:bCs/>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r w:rsidR="005F088E">
        <w:rPr>
          <w:rFonts w:ascii="Arial" w:hAnsi="Arial" w:cs="Arial"/>
          <w:b/>
          <w:noProof/>
        </w:rPr>
        <w:t xml:space="preserve"> </w:t>
      </w:r>
      <w:r w:rsidR="005F088E" w:rsidRPr="00815331">
        <w:rPr>
          <w:rFonts w:ascii="Arial" w:hAnsi="Arial" w:cs="Arial"/>
          <w:bCs/>
          <w:noProof/>
        </w:rPr>
        <w:t>(v</w:t>
      </w:r>
      <w:r w:rsidR="00B5355A" w:rsidRPr="00815331">
        <w:rPr>
          <w:rFonts w:ascii="Arial" w:hAnsi="Arial" w:cs="Arial"/>
          <w:bCs/>
          <w:noProof/>
        </w:rPr>
        <w:t xml:space="preserve"> případě, že pole podélné spojky </w:t>
      </w:r>
      <w:r w:rsidR="000821C7">
        <w:rPr>
          <w:rFonts w:ascii="Arial" w:hAnsi="Arial" w:cs="Arial"/>
          <w:bCs/>
          <w:noProof/>
        </w:rPr>
        <w:t xml:space="preserve">účastník </w:t>
      </w:r>
      <w:r w:rsidR="00B5355A" w:rsidRPr="00815331">
        <w:rPr>
          <w:rFonts w:ascii="Arial" w:hAnsi="Arial" w:cs="Arial"/>
          <w:bCs/>
          <w:noProof/>
        </w:rPr>
        <w:t>nabídne)</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4B540AD0" w:rsidR="00F47E6D" w:rsidRPr="00EE5E43" w:rsidRDefault="003B1FE6" w:rsidP="00F47E6D">
      <w:pPr>
        <w:spacing w:before="60"/>
        <w:jc w:val="both"/>
        <w:rPr>
          <w:rFonts w:ascii="Arial" w:hAnsi="Arial" w:cs="Arial"/>
          <w:noProof/>
        </w:rPr>
      </w:pPr>
      <w:r w:rsidRPr="00EE5E43">
        <w:rPr>
          <w:rFonts w:ascii="Arial" w:hAnsi="Arial" w:cs="Arial"/>
          <w:noProof/>
        </w:rPr>
        <w:lastRenderedPageBreak/>
        <w:t xml:space="preserve">Každý plynový prostor musí být vybaven </w:t>
      </w:r>
      <w:r w:rsidR="00F47E6D" w:rsidRPr="00EE5E43">
        <w:rPr>
          <w:rFonts w:ascii="Arial" w:hAnsi="Arial" w:cs="Arial"/>
          <w:noProof/>
        </w:rPr>
        <w:t xml:space="preserve">signalizací úniku </w:t>
      </w:r>
      <w:r w:rsidR="000C1407">
        <w:rPr>
          <w:rFonts w:ascii="Arial" w:hAnsi="Arial" w:cs="Arial"/>
          <w:noProof/>
        </w:rPr>
        <w:t xml:space="preserve">izolačního </w:t>
      </w:r>
      <w:r w:rsidR="00F47E6D" w:rsidRPr="00EE5E43">
        <w:rPr>
          <w:rFonts w:ascii="Arial" w:hAnsi="Arial" w:cs="Arial"/>
          <w:noProof/>
        </w:rPr>
        <w:t>plynu (tlakový spínač) a vyvedením jednotlivých kontaktů na svorkovnici.</w:t>
      </w:r>
    </w:p>
    <w:p w14:paraId="0C26356E" w14:textId="10F84E84"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r w:rsidR="00862CB7">
        <w:rPr>
          <w:rFonts w:ascii="Arial" w:hAnsi="Arial" w:cs="Arial"/>
          <w:noProof/>
        </w:rPr>
        <w:t>.</w:t>
      </w:r>
      <w:r w:rsidR="00CE67D2">
        <w:rPr>
          <w:rFonts w:ascii="Arial" w:hAnsi="Arial" w:cs="Arial"/>
          <w:noProof/>
        </w:rPr>
        <w:t xml:space="preserve"> </w:t>
      </w:r>
      <w:r w:rsidR="00862CB7">
        <w:rPr>
          <w:rFonts w:ascii="Arial" w:hAnsi="Arial" w:cs="Arial"/>
          <w:noProof/>
        </w:rPr>
        <w:t>M</w:t>
      </w:r>
      <w:r w:rsidR="00CE67D2">
        <w:rPr>
          <w:rFonts w:ascii="Arial" w:hAnsi="Arial" w:cs="Arial"/>
          <w:noProof/>
        </w:rPr>
        <w:t>imo variant</w:t>
      </w:r>
      <w:r w:rsidR="00862CB7">
        <w:rPr>
          <w:rFonts w:ascii="Arial" w:hAnsi="Arial" w:cs="Arial"/>
          <w:noProof/>
        </w:rPr>
        <w:t>u</w:t>
      </w:r>
      <w:r w:rsidR="00CE67D2">
        <w:rPr>
          <w:rFonts w:ascii="Arial" w:hAnsi="Arial" w:cs="Arial"/>
          <w:noProof/>
        </w:rPr>
        <w:t xml:space="preserve"> B., kdy </w:t>
      </w:r>
      <w:r w:rsidR="000C06B3">
        <w:rPr>
          <w:rFonts w:ascii="Arial" w:hAnsi="Arial" w:cs="Arial"/>
          <w:noProof/>
        </w:rPr>
        <w:t>je napájení vlastní</w:t>
      </w:r>
      <w:r w:rsidR="002A6776">
        <w:rPr>
          <w:rFonts w:ascii="Arial" w:hAnsi="Arial" w:cs="Arial"/>
          <w:noProof/>
        </w:rPr>
        <w:t xml:space="preserve"> spotřeby 110 V DC, lze u odpínačových </w:t>
      </w:r>
      <w:r w:rsidR="004903B9">
        <w:rPr>
          <w:rFonts w:ascii="Arial" w:hAnsi="Arial" w:cs="Arial"/>
          <w:noProof/>
        </w:rPr>
        <w:t>polí</w:t>
      </w:r>
      <w:r w:rsidR="00585455">
        <w:rPr>
          <w:rFonts w:ascii="Arial" w:hAnsi="Arial" w:cs="Arial"/>
          <w:noProof/>
        </w:rPr>
        <w:t xml:space="preserve"> před motorový pohon vřadit DC/DC měnič.</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2DBBCFF4" w:rsidR="003B1FE6" w:rsidRPr="00EE5E43" w:rsidRDefault="003B1FE6" w:rsidP="003B1FE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51874A30" w:rsidR="003666F6" w:rsidRPr="00EE5E43" w:rsidRDefault="003666F6" w:rsidP="003666F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07660576" w:rsidR="00637D5F" w:rsidRPr="00EE5E43" w:rsidRDefault="00637D5F" w:rsidP="00637D5F">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682E0AA8" w14:textId="5B5672AA" w:rsidR="00DA4201" w:rsidRPr="00A17BF6" w:rsidRDefault="00DA4201" w:rsidP="00A17BF6">
      <w:pPr>
        <w:spacing w:before="60" w:after="60"/>
        <w:rPr>
          <w:rFonts w:ascii="Arial" w:hAnsi="Arial" w:cs="Arial"/>
          <w:b/>
        </w:rPr>
      </w:pPr>
      <w:r>
        <w:rPr>
          <w:rFonts w:ascii="Arial" w:hAnsi="Arial" w:cs="Arial"/>
          <w:b/>
        </w:rPr>
        <w:t>Nepovinná položka:</w:t>
      </w:r>
    </w:p>
    <w:p w14:paraId="0C263583" w14:textId="5AA43264"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523CCCAB"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r w:rsidR="009B6655">
        <w:rPr>
          <w:rFonts w:ascii="Arial" w:hAnsi="Arial" w:cs="Arial"/>
          <w:noProof/>
        </w:rPr>
        <w:t xml:space="preserve"> </w:t>
      </w:r>
      <w:r w:rsidR="0000426C">
        <w:rPr>
          <w:rFonts w:ascii="Arial" w:hAnsi="Arial" w:cs="Arial"/>
          <w:noProof/>
        </w:rPr>
        <w:t>Tato</w:t>
      </w:r>
      <w:r w:rsidR="009B6655">
        <w:rPr>
          <w:rFonts w:ascii="Arial" w:hAnsi="Arial" w:cs="Arial"/>
          <w:noProof/>
        </w:rPr>
        <w:t xml:space="preserve"> sestav</w:t>
      </w:r>
      <w:r w:rsidR="0000426C">
        <w:rPr>
          <w:rFonts w:ascii="Arial" w:hAnsi="Arial" w:cs="Arial"/>
          <w:noProof/>
        </w:rPr>
        <w:t>a vyžaduje</w:t>
      </w:r>
      <w:r w:rsidR="009B6655">
        <w:rPr>
          <w:rFonts w:ascii="Arial" w:hAnsi="Arial" w:cs="Arial"/>
          <w:noProof/>
        </w:rPr>
        <w:t xml:space="preserve"> minimální hloubk</w:t>
      </w:r>
      <w:r w:rsidR="0000426C">
        <w:rPr>
          <w:rFonts w:ascii="Arial" w:hAnsi="Arial" w:cs="Arial"/>
          <w:noProof/>
        </w:rPr>
        <w:t>u</w:t>
      </w:r>
      <w:r w:rsidR="009B6655">
        <w:rPr>
          <w:rFonts w:ascii="Arial" w:hAnsi="Arial" w:cs="Arial"/>
          <w:noProof/>
        </w:rPr>
        <w:t xml:space="preserve"> krytu kabelového prostoru</w:t>
      </w:r>
      <w:r w:rsidR="00DE5EB9">
        <w:rPr>
          <w:rFonts w:ascii="Arial" w:hAnsi="Arial" w:cs="Arial"/>
          <w:noProof/>
        </w:rPr>
        <w:t xml:space="preserve"> 430 mm.</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1" w:name="_Hlk535316000"/>
      <w:r w:rsidRPr="00EE5E43">
        <w:rPr>
          <w:rFonts w:ascii="Arial" w:hAnsi="Arial" w:cs="Arial"/>
          <w:snapToGrid w:val="0"/>
          <w:color w:val="000000"/>
        </w:rPr>
        <w:t xml:space="preserve">Kostra a </w:t>
      </w:r>
      <w:bookmarkEnd w:id="1"/>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lastRenderedPageBreak/>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proofErr w:type="spellStart"/>
      <w:r w:rsidR="00B40D8D" w:rsidRPr="002D406D">
        <w:rPr>
          <w:rFonts w:ascii="Arial" w:hAnsi="Arial" w:cs="Arial"/>
          <w:snapToGrid w:val="0"/>
          <w:color w:val="000000"/>
        </w:rPr>
        <w:t>Remote</w:t>
      </w:r>
      <w:proofErr w:type="spellEnd"/>
      <w:r w:rsidR="00B40D8D" w:rsidRPr="002D406D">
        <w:rPr>
          <w:rFonts w:ascii="Arial" w:hAnsi="Arial" w:cs="Arial"/>
          <w:snapToGrid w:val="0"/>
          <w:color w:val="000000"/>
        </w:rPr>
        <w:t xml:space="preserv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(PG16</w:t>
      </w:r>
      <w:r w:rsidR="00B01682" w:rsidRPr="005D1D13">
        <w:rPr>
          <w:rFonts w:ascii="Arial" w:hAnsi="Arial" w:cs="Arial"/>
          <w:snapToGrid w:val="0"/>
          <w:color w:val="000000"/>
        </w:rPr>
        <w:t>/M25</w:t>
      </w:r>
      <w:r w:rsidR="005202AB">
        <w:rPr>
          <w:rFonts w:ascii="Arial" w:hAnsi="Arial" w:cs="Arial"/>
          <w:snapToGrid w:val="0"/>
          <w:color w:val="000000"/>
        </w:rPr>
        <w:t>, krytí min. IP68</w:t>
      </w:r>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r w:rsidR="005202AB" w:rsidRPr="005D1D13">
        <w:rPr>
          <w:rFonts w:ascii="Arial" w:hAnsi="Arial" w:cs="Arial"/>
          <w:snapToGrid w:val="0"/>
          <w:color w:val="000000"/>
        </w:rPr>
        <w:t>PG16</w:t>
      </w:r>
      <w:r w:rsidR="00B01682" w:rsidRPr="005D1D13">
        <w:rPr>
          <w:rFonts w:ascii="Arial" w:hAnsi="Arial" w:cs="Arial"/>
          <w:snapToGrid w:val="0"/>
          <w:color w:val="000000"/>
        </w:rPr>
        <w:t>/M25</w:t>
      </w:r>
      <w:r w:rsidR="005202AB" w:rsidRPr="005D1D13">
        <w:rPr>
          <w:rFonts w:ascii="Arial" w:hAnsi="Arial" w:cs="Arial"/>
          <w:snapToGrid w:val="0"/>
          <w:color w:val="000000"/>
        </w:rPr>
        <w:t>,</w:t>
      </w:r>
      <w:r w:rsidR="005202AB">
        <w:rPr>
          <w:rFonts w:ascii="Arial" w:hAnsi="Arial" w:cs="Arial"/>
          <w:snapToGrid w:val="0"/>
          <w:color w:val="000000"/>
        </w:rPr>
        <w:t xml:space="preserve"> krytí min. IP68</w:t>
      </w:r>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GPRS/LTE.</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2" w:name="_Toc440976"/>
      <w:r w:rsidRPr="00EE5E43">
        <w:rPr>
          <w:rFonts w:ascii="Arial" w:hAnsi="Arial" w:cs="Arial"/>
          <w:noProof/>
          <w:sz w:val="20"/>
          <w:u w:val="single"/>
        </w:rPr>
        <w:t>Zemnění nadstavby před nebezpečným dotykovým napětím</w:t>
      </w:r>
      <w:bookmarkEnd w:id="2"/>
    </w:p>
    <w:p w14:paraId="0C2635A6" w14:textId="3E01FE43"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w:t>
      </w:r>
      <w:r w:rsidR="00CB37C6">
        <w:rPr>
          <w:rFonts w:ascii="Arial" w:eastAsia="Times New Roman" w:hAnsi="Arial" w:cs="Arial"/>
          <w:noProof/>
          <w:color w:val="auto"/>
          <w:sz w:val="20"/>
          <w:szCs w:val="20"/>
          <w:lang w:eastAsia="cs-CZ"/>
        </w:rPr>
        <w:t>ou</w:t>
      </w:r>
      <w:r w:rsidRPr="00EE5E43">
        <w:rPr>
          <w:rFonts w:ascii="Arial" w:eastAsia="Times New Roman" w:hAnsi="Arial" w:cs="Arial"/>
          <w:noProof/>
          <w:color w:val="auto"/>
          <w:sz w:val="20"/>
          <w:szCs w:val="20"/>
          <w:lang w:eastAsia="cs-CZ"/>
        </w:rPr>
        <w:t xml:space="preserve">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3C73C0B5" w14:textId="77777777" w:rsidR="00FF34B1" w:rsidRPr="00EE5E43" w:rsidRDefault="00FF34B1"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6D6998">
      <w:pPr>
        <w:pageBreakBefore/>
        <w:spacing w:before="60"/>
        <w:jc w:val="both"/>
        <w:rPr>
          <w:rFonts w:ascii="Arial" w:hAnsi="Arial" w:cs="Arial"/>
          <w:b/>
          <w:noProof/>
        </w:rPr>
      </w:pPr>
      <w:r w:rsidRPr="00EE5E43">
        <w:rPr>
          <w:rFonts w:ascii="Arial" w:hAnsi="Arial" w:cs="Arial"/>
          <w:b/>
          <w:noProof/>
        </w:rPr>
        <w:lastRenderedPageBreak/>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r w:rsidRPr="00EE5E43">
        <w:rPr>
          <w:rFonts w:ascii="Arial" w:hAnsi="Arial" w:cs="Arial"/>
          <w:b/>
        </w:rPr>
        <w:t>Vydrátování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vydrátování je i osazení a montáž všech </w:t>
      </w:r>
      <w:r w:rsidR="00A54BE7">
        <w:rPr>
          <w:rFonts w:ascii="Arial" w:hAnsi="Arial" w:cs="Arial"/>
        </w:rPr>
        <w:t xml:space="preserve">RTU a </w:t>
      </w:r>
      <w:r w:rsidRPr="00EE5E43">
        <w:rPr>
          <w:rFonts w:ascii="Arial" w:hAnsi="Arial" w:cs="Arial"/>
        </w:rPr>
        <w:t>IED (dodávka zadavatele).</w:t>
      </w:r>
      <w:r w:rsidR="00DC3E8A" w:rsidRPr="00EE5E43">
        <w:rPr>
          <w:rFonts w:ascii="Arial" w:hAnsi="Arial" w:cs="Arial"/>
        </w:rPr>
        <w:t xml:space="preserve"> V rámci dodávky </w:t>
      </w:r>
      <w:r w:rsidR="00A54BE7">
        <w:rPr>
          <w:rFonts w:ascii="Arial" w:hAnsi="Arial" w:cs="Arial"/>
        </w:rPr>
        <w:t xml:space="preserve">RTU a </w:t>
      </w:r>
      <w:r w:rsidR="00DC3E8A" w:rsidRPr="00EE5E43">
        <w:rPr>
          <w:rFonts w:ascii="Arial" w:hAnsi="Arial" w:cs="Arial"/>
        </w:rPr>
        <w:t>IED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3" w:name="_Toc532465418"/>
      <w:bookmarkStart w:id="4" w:name="_Toc535843977"/>
      <w:r w:rsidRPr="00EE5E43">
        <w:rPr>
          <w:rFonts w:ascii="Arial" w:hAnsi="Arial" w:cs="Arial"/>
          <w:noProof/>
          <w:u w:val="single"/>
        </w:rPr>
        <w:t>Osazení vnitřního prostoru nadstavby</w:t>
      </w:r>
      <w:bookmarkEnd w:id="3"/>
      <w:bookmarkEnd w:id="4"/>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4EE91090"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V prostoru nad prvním polem se mohou nacházet i společné obvody (např. stav </w:t>
      </w:r>
      <w:r w:rsidR="000C1407">
        <w:rPr>
          <w:rFonts w:ascii="Arial" w:hAnsi="Arial" w:cs="Arial"/>
          <w:snapToGrid w:val="0"/>
          <w:color w:val="000000"/>
        </w:rPr>
        <w:t xml:space="preserve">izolačního </w:t>
      </w:r>
      <w:r w:rsidRPr="00EE5E43">
        <w:rPr>
          <w:rFonts w:ascii="Arial" w:hAnsi="Arial" w:cs="Arial"/>
          <w:snapToGrid w:val="0"/>
          <w:color w:val="000000"/>
        </w:rPr>
        <w:t xml:space="preserve">plynu společné komory VN rozváděče, společný jistič měření napětí z PTN,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vydrátování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(CMA)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2,5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2CD3A52" w14:textId="0C45389A" w:rsidR="00FF34B1" w:rsidRDefault="00FF34B1" w:rsidP="00670386">
      <w:pPr>
        <w:jc w:val="both"/>
        <w:rPr>
          <w:rFonts w:ascii="Arial" w:hAnsi="Arial" w:cs="Arial"/>
          <w:snapToGrid w:val="0"/>
        </w:rPr>
      </w:pPr>
    </w:p>
    <w:p w14:paraId="5699147B" w14:textId="77777777" w:rsidR="00FF34B1" w:rsidRPr="00EE5E43" w:rsidRDefault="00FF34B1"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D6998">
      <w:pPr>
        <w:pageBreakBefore/>
        <w:jc w:val="both"/>
        <w:rPr>
          <w:rFonts w:ascii="Arial" w:hAnsi="Arial" w:cs="Arial"/>
          <w:snapToGrid w:val="0"/>
        </w:rPr>
      </w:pPr>
      <w:r w:rsidRPr="00EE5E43">
        <w:rPr>
          <w:rFonts w:ascii="Arial" w:hAnsi="Arial" w:cs="Arial"/>
          <w:snapToGrid w:val="0"/>
        </w:rPr>
        <w:lastRenderedPageBreak/>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FA1.11</w:t>
      </w:r>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1-XQM:27</w:t>
      </w:r>
      <w:r w:rsidRPr="00EE5E43">
        <w:rPr>
          <w:rFonts w:ascii="Arial" w:hAnsi="Arial" w:cs="Arial"/>
          <w:snapToGrid w:val="0"/>
        </w:rPr>
        <w:t xml:space="preserve"> Vodič vychází ze svorky 1 a jde na svorkovnici XQM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XQM:27-1</w:t>
      </w:r>
      <w:r w:rsidRPr="00EE5E43">
        <w:rPr>
          <w:rFonts w:ascii="Arial" w:hAnsi="Arial" w:cs="Arial"/>
          <w:snapToGrid w:val="0"/>
        </w:rPr>
        <w:t>. Vodič končí ve svorkovnici XQM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proofErr w:type="gramStart"/>
      <w:r w:rsidRPr="00EE5E43">
        <w:rPr>
          <w:rFonts w:ascii="Arial" w:hAnsi="Arial" w:cs="Arial"/>
          <w:snapToGrid w:val="0"/>
          <w:highlight w:val="yellow"/>
        </w:rPr>
        <w:t>2-XN11</w:t>
      </w:r>
      <w:proofErr w:type="gramEnd"/>
      <w:r w:rsidRPr="00EE5E43">
        <w:rPr>
          <w:rFonts w:ascii="Arial" w:hAnsi="Arial" w:cs="Arial"/>
          <w:snapToGrid w:val="0"/>
          <w:highlight w:val="yellow"/>
        </w:rPr>
        <w:t>:1/ASJ02</w:t>
      </w:r>
      <w:r w:rsidRPr="00EE5E43">
        <w:rPr>
          <w:rFonts w:ascii="Arial" w:hAnsi="Arial" w:cs="Arial"/>
          <w:snapToGrid w:val="0"/>
        </w:rPr>
        <w:t xml:space="preserve"> vodič jdoucí ze svorky 2 jde do části nadstavby ASJ02 na svorkovnici XN11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w:t>
      </w:r>
      <w:proofErr w:type="spellStart"/>
      <w:r w:rsidRPr="002D406D">
        <w:rPr>
          <w:color w:val="auto"/>
          <w:sz w:val="24"/>
          <w:szCs w:val="24"/>
        </w:rPr>
        <w:t>odpínačovými</w:t>
      </w:r>
      <w:proofErr w:type="spellEnd"/>
      <w:r w:rsidRPr="002D406D">
        <w:rPr>
          <w:color w:val="auto"/>
          <w:sz w:val="24"/>
          <w:szCs w:val="24"/>
        </w:rPr>
        <w:t xml:space="preserve">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Obr. Rozvaděč VN s kombinací odpínačových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Barva svorek (kromě N a PE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a napájecích smyček mezi jednotlivými poli nadstavby musí umožnit připojení vodiče v rozsahu průřezů 1 ÷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Ochranný vodič PE: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5" w:name="_Toc532465413"/>
      <w:bookmarkStart w:id="6" w:name="_Toc440973"/>
      <w:r w:rsidRPr="00EE5E43">
        <w:rPr>
          <w:rFonts w:ascii="Arial" w:hAnsi="Arial" w:cs="Arial"/>
          <w:snapToGrid w:val="0"/>
          <w:color w:val="000000"/>
          <w:sz w:val="20"/>
          <w:u w:val="single"/>
        </w:rPr>
        <w:t>Svorky pro měření a zapojení proudů a napětí</w:t>
      </w:r>
      <w:bookmarkEnd w:id="5"/>
      <w:bookmarkEnd w:id="6"/>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 xml:space="preserve">Při měření </w:t>
      </w:r>
      <w:proofErr w:type="gramStart"/>
      <w:r w:rsidRPr="00EE5E43">
        <w:rPr>
          <w:rFonts w:ascii="Arial" w:hAnsi="Arial" w:cs="Arial"/>
          <w:snapToGrid w:val="0"/>
          <w:color w:val="000000"/>
        </w:rPr>
        <w:t>U</w:t>
      </w:r>
      <w:proofErr w:type="gramEnd"/>
      <w:r w:rsidRPr="00EE5E43">
        <w:rPr>
          <w:rFonts w:ascii="Arial" w:hAnsi="Arial" w:cs="Arial"/>
          <w:snapToGrid w:val="0"/>
          <w:color w:val="000000"/>
        </w:rPr>
        <w:t xml:space="preserve"> a I pomocí PTP a PTN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Svorky musí umožnit připojení zkušebních dutinek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U pole vývodu s vypínačem musí být proudy vyvedeny na svorky a pak do testovací zásuvky a poté připojeny do IED. Svorky na vyvedení proudů musí být průběžné, bez možnosti rozpojení, vyzkratování ani možnosti připojení zkušebních dutinek. Proudová přetížitelnost svorky musí být minimálně 55 A, musí být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IED. Při vysunutí testovací zástrčky se musí naopak nejprve připojit analogové vstupy IED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vypínačem přivedeno na napěťové svorky. Svorky na vyvedení napětí jsou průběžné, bez možnosti rozpojení.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IED. </w:t>
      </w:r>
      <w:r w:rsidRPr="00EE5E43">
        <w:rPr>
          <w:rFonts w:ascii="Arial" w:hAnsi="Arial" w:cs="Arial"/>
          <w:snapToGrid w:val="0"/>
          <w:color w:val="000000"/>
        </w:rPr>
        <w:t>Funkci rozpojení napěťových měničů od vstupů IED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IED.</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IED.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V poli měření bude napětí měřeno z napěťového měniče.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Sekundární výstup PTN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Uzel z klasických PTP a PTN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Svorky pro napájení z PTN</w:t>
      </w:r>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PTN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PTN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IED</w:t>
      </w:r>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IED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ovládání musí být signalizováno žlutou kontrolkou umístěné nad tímto paketovým přepínačem. Druhý paketový přepínač bude pro vypnutí napětí pro ovládání vypínače a napětí pohonu střadače. Signalizační napětí pro IED se tímto paket</w:t>
      </w:r>
      <w:r w:rsidR="00DA34EB" w:rsidRPr="00EE5E43">
        <w:rPr>
          <w:rFonts w:ascii="Arial" w:hAnsi="Arial" w:cs="Arial"/>
          <w:snapToGrid w:val="0"/>
          <w:color w:val="000000"/>
        </w:rPr>
        <w:t>ovým přepínačem vypínat nebude.</w:t>
      </w:r>
    </w:p>
    <w:p w14:paraId="0C26360F" w14:textId="019C9844" w:rsidR="00F444FC" w:rsidRDefault="00F444FC" w:rsidP="00C43966">
      <w:pPr>
        <w:spacing w:before="80"/>
        <w:jc w:val="both"/>
        <w:rPr>
          <w:rFonts w:ascii="Arial" w:hAnsi="Arial" w:cs="Arial"/>
          <w:snapToGrid w:val="0"/>
          <w:color w:val="000000"/>
        </w:rPr>
      </w:pPr>
    </w:p>
    <w:p w14:paraId="6F8A27CA" w14:textId="22256E57" w:rsidR="00FF34B1" w:rsidRDefault="00FF34B1" w:rsidP="00C43966">
      <w:pPr>
        <w:spacing w:before="80"/>
        <w:jc w:val="both"/>
        <w:rPr>
          <w:rFonts w:ascii="Arial" w:hAnsi="Arial" w:cs="Arial"/>
          <w:snapToGrid w:val="0"/>
          <w:color w:val="000000"/>
        </w:rPr>
      </w:pPr>
    </w:p>
    <w:p w14:paraId="1106CBA9" w14:textId="4CBFD3E2" w:rsidR="00FF34B1" w:rsidRDefault="00FF34B1" w:rsidP="00C43966">
      <w:pPr>
        <w:spacing w:before="80"/>
        <w:jc w:val="both"/>
        <w:rPr>
          <w:rFonts w:ascii="Arial" w:hAnsi="Arial" w:cs="Arial"/>
          <w:snapToGrid w:val="0"/>
          <w:color w:val="000000"/>
        </w:rPr>
      </w:pPr>
    </w:p>
    <w:p w14:paraId="7630557F" w14:textId="374CE585" w:rsidR="00FF34B1" w:rsidRDefault="00FF34B1" w:rsidP="00C43966">
      <w:pPr>
        <w:spacing w:before="80"/>
        <w:jc w:val="both"/>
        <w:rPr>
          <w:rFonts w:ascii="Arial" w:hAnsi="Arial" w:cs="Arial"/>
          <w:snapToGrid w:val="0"/>
          <w:color w:val="000000"/>
        </w:rPr>
      </w:pPr>
    </w:p>
    <w:p w14:paraId="1C0DE6E0" w14:textId="5C5EE4C2" w:rsidR="00FF34B1" w:rsidRDefault="00FF34B1" w:rsidP="00C43966">
      <w:pPr>
        <w:spacing w:before="80"/>
        <w:jc w:val="both"/>
        <w:rPr>
          <w:rFonts w:ascii="Arial" w:hAnsi="Arial" w:cs="Arial"/>
          <w:snapToGrid w:val="0"/>
          <w:color w:val="000000"/>
        </w:rPr>
      </w:pPr>
    </w:p>
    <w:p w14:paraId="3F7AC7F5" w14:textId="77777777" w:rsidR="00FF34B1" w:rsidRPr="00EE5E43" w:rsidRDefault="00FF34B1"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lastRenderedPageBreak/>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EAAA54" id="Přímá spojnice 1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85.9pt,257.45pt" to="166.9pt,2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strokecolor="black [304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56EAE3" id="Přímá spojnice 11" o:spid="_x0000_s1026" style="position:absolute;flip:y;z-index:251658241;visibility:visible;mso-wrap-style:square;mso-wrap-distance-left:9pt;mso-wrap-distance-top:0;mso-wrap-distance-right:9pt;mso-wrap-distance-bottom:0;mso-position-horizontal:absolute;mso-position-horizontal-relative:text;mso-position-vertical:absolute;mso-position-vertical-relative:text" from="84.4pt,223.7pt" to="168.4pt,2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strokecolor="black [304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48BF8A" id="Přímá spojnice 10"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77.65pt,185.45pt" to="166.9pt,2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strokecolor="black [304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lastRenderedPageBreak/>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43FF2275"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r w:rsidR="00834D4C">
        <w:rPr>
          <w:rFonts w:ascii="Arial" w:hAnsi="Arial" w:cs="Arial"/>
          <w:noProof/>
        </w:rPr>
        <w:t xml:space="preserve"> (pokud bude pole </w:t>
      </w:r>
      <w:r w:rsidR="002F1A8C">
        <w:rPr>
          <w:rFonts w:ascii="Arial" w:hAnsi="Arial" w:cs="Arial"/>
          <w:noProof/>
        </w:rPr>
        <w:t>podélné spojky součástí nabídky)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7" w:name="_Ref532463231"/>
      <w:bookmarkStart w:id="8" w:name="_Toc532465416"/>
      <w:bookmarkStart w:id="9" w:name="_Toc535843979"/>
      <w:r w:rsidRPr="00EE5E43">
        <w:rPr>
          <w:rFonts w:ascii="Arial" w:hAnsi="Arial" w:cs="Arial"/>
          <w:b/>
        </w:rPr>
        <w:t>Systém detekce napětí – dálkov</w:t>
      </w:r>
      <w:bookmarkEnd w:id="7"/>
      <w:bookmarkEnd w:id="8"/>
      <w:bookmarkEnd w:id="9"/>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r w:rsidRPr="00EE5E43">
        <w:rPr>
          <w:rFonts w:ascii="Arial" w:hAnsi="Arial" w:cs="Arial"/>
          <w:snapToGrid w:val="0"/>
          <w:color w:val="000000"/>
        </w:rPr>
        <w:t xml:space="preserve">IED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17B366F8" w:rsidR="00A940AC" w:rsidRPr="00A31DC2" w:rsidRDefault="00A940AC" w:rsidP="00E258EA">
      <w:pPr>
        <w:jc w:val="both"/>
        <w:rPr>
          <w:rStyle w:val="nadpisclanku1"/>
          <w:b w:val="0"/>
        </w:rPr>
      </w:pPr>
      <w:r w:rsidRPr="00A31DC2">
        <w:rPr>
          <w:rStyle w:val="nadpisclanku1"/>
          <w:b w:val="0"/>
        </w:rPr>
        <w:t xml:space="preserve">V průběhu trvání smlouvy je kupující oprávněn vyžádat si opětovně platné typové testy (protokoly) k nabízeným rozvaděčům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43CF6F3E" w:rsidR="00106A29" w:rsidRPr="00EE5E43" w:rsidRDefault="000F17D6"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 xml:space="preserve">1,1 x Ur max. 2 </w:t>
      </w:r>
      <w:proofErr w:type="spellStart"/>
      <w:r w:rsidRPr="00EE5E43">
        <w:rPr>
          <w:rStyle w:val="nadpisclanku1"/>
          <w:b w:val="0"/>
        </w:rPr>
        <w:t>pC</w:t>
      </w:r>
      <w:proofErr w:type="spellEnd"/>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2A1FC253" w:rsidR="00106A29" w:rsidRPr="00EE5E43" w:rsidRDefault="00106A29"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 xml:space="preserve">1,1 x Ur max. 20 </w:t>
      </w:r>
      <w:proofErr w:type="spellStart"/>
      <w:r w:rsidRPr="00EE5E43">
        <w:rPr>
          <w:rStyle w:val="nadpisclanku1"/>
          <w:b w:val="0"/>
        </w:rPr>
        <w:t>pC</w:t>
      </w:r>
      <w:proofErr w:type="spellEnd"/>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302DA89B"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správnosti vydrátování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0C263658"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Test dielektrické pevnosti: střídavým napětím 4kV po dobu 1 minuty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r w:rsidRPr="00EE5E43">
        <w:rPr>
          <w:rStyle w:val="nadpisclanku1"/>
          <w:b w:val="0"/>
        </w:rPr>
        <w:t>IED.</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10"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w:t>
      </w:r>
      <w:proofErr w:type="spellStart"/>
      <w:r w:rsidR="00584174">
        <w:rPr>
          <w:rFonts w:ascii="Arial" w:hAnsi="Arial" w:cs="Arial"/>
          <w:b/>
        </w:rPr>
        <w:t>smart</w:t>
      </w:r>
      <w:proofErr w:type="spellEnd"/>
      <w:r w:rsidR="00584174">
        <w:rPr>
          <w:rFonts w:ascii="Arial" w:hAnsi="Arial" w:cs="Arial"/>
          <w:b/>
        </w:rPr>
        <w:t xml:space="preserve">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11" w:name="_Hlk19110227"/>
      <w:bookmarkEnd w:id="10"/>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w:t>
      </w:r>
      <w:proofErr w:type="spellStart"/>
      <w:r w:rsidRPr="002D406D">
        <w:rPr>
          <w:rFonts w:ascii="Arial" w:hAnsi="Arial" w:cs="Arial"/>
          <w:snapToGrid w:val="0"/>
        </w:rPr>
        <w:t>vydrátováním</w:t>
      </w:r>
      <w:proofErr w:type="spellEnd"/>
      <w:r w:rsidRPr="002D406D">
        <w:rPr>
          <w:rFonts w:ascii="Arial" w:hAnsi="Arial" w:cs="Arial"/>
          <w:snapToGrid w:val="0"/>
        </w:rPr>
        <w:t xml:space="preserve">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w:t>
      </w:r>
      <w:proofErr w:type="spellStart"/>
      <w:r w:rsidRPr="00EE5E43">
        <w:rPr>
          <w:rFonts w:ascii="Arial" w:hAnsi="Arial" w:cs="Arial"/>
          <w:snapToGrid w:val="0"/>
        </w:rPr>
        <w:t>Factory</w:t>
      </w:r>
      <w:proofErr w:type="spellEnd"/>
      <w:r w:rsidRPr="00EE5E43">
        <w:rPr>
          <w:rFonts w:ascii="Arial" w:hAnsi="Arial" w:cs="Arial"/>
          <w:snapToGrid w:val="0"/>
        </w:rPr>
        <w:t xml:space="preserve"> </w:t>
      </w:r>
      <w:proofErr w:type="spellStart"/>
      <w:r w:rsidRPr="00EE5E43">
        <w:rPr>
          <w:rFonts w:ascii="Arial" w:hAnsi="Arial" w:cs="Arial"/>
          <w:snapToGrid w:val="0"/>
        </w:rPr>
        <w:t>Acceptance</w:t>
      </w:r>
      <w:proofErr w:type="spellEnd"/>
      <w:r w:rsidRPr="00EE5E43">
        <w:rPr>
          <w:rFonts w:ascii="Arial" w:hAnsi="Arial" w:cs="Arial"/>
          <w:snapToGrid w:val="0"/>
        </w:rPr>
        <w:t xml:space="preserv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r>
        <w:rPr>
          <w:rFonts w:ascii="Arial" w:hAnsi="Arial" w:cs="Arial"/>
          <w:snapToGrid w:val="0"/>
        </w:rPr>
        <w:t>EG.D</w:t>
      </w:r>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Výbava bude minimálně obsahovat nadstavbovou skříň, vydrátování</w:t>
      </w:r>
      <w:r w:rsidR="00A1458A" w:rsidRPr="00EE5E43">
        <w:rPr>
          <w:rFonts w:ascii="Arial" w:hAnsi="Arial" w:cs="Arial"/>
          <w:snapToGrid w:val="0"/>
        </w:rPr>
        <w:t xml:space="preserve"> (včetně instalace </w:t>
      </w:r>
      <w:r w:rsidR="00317A70">
        <w:rPr>
          <w:rFonts w:ascii="Arial" w:hAnsi="Arial" w:cs="Arial"/>
          <w:snapToGrid w:val="0"/>
        </w:rPr>
        <w:t>RTU/</w:t>
      </w:r>
      <w:r w:rsidR="00A1458A" w:rsidRPr="00EE5E43">
        <w:rPr>
          <w:rFonts w:ascii="Arial" w:hAnsi="Arial" w:cs="Arial"/>
          <w:snapToGrid w:val="0"/>
        </w:rPr>
        <w:t>IED)</w:t>
      </w:r>
      <w:r w:rsidRPr="00EE5E43">
        <w:rPr>
          <w:rFonts w:ascii="Arial" w:hAnsi="Arial" w:cs="Arial"/>
          <w:snapToGrid w:val="0"/>
        </w:rPr>
        <w:t>, MTP, MTN</w:t>
      </w:r>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w:t>
      </w:r>
      <w:proofErr w:type="gramStart"/>
      <w:r w:rsidR="00A1458A" w:rsidRPr="00EE5E43">
        <w:rPr>
          <w:rFonts w:ascii="Arial" w:hAnsi="Arial" w:cs="Arial"/>
          <w:snapToGrid w:val="0"/>
        </w:rPr>
        <w:t>kontakty,</w:t>
      </w:r>
      <w:proofErr w:type="gramEnd"/>
      <w:r w:rsidR="00A1458A" w:rsidRPr="00EE5E43">
        <w:rPr>
          <w:rFonts w:ascii="Arial" w:hAnsi="Arial" w:cs="Arial"/>
          <w:snapToGrid w:val="0"/>
        </w:rPr>
        <w:t xml:space="preserve">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vydrátování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Simulovány mohou být pouze ochranné nebo indikační funkce </w:t>
      </w:r>
      <w:r w:rsidR="00317A70">
        <w:rPr>
          <w:rFonts w:ascii="Arial" w:hAnsi="Arial" w:cs="Arial"/>
          <w:snapToGrid w:val="0"/>
        </w:rPr>
        <w:t>RTU/</w:t>
      </w:r>
      <w:r w:rsidRPr="00EE5E43">
        <w:rPr>
          <w:rFonts w:ascii="Arial" w:hAnsi="Arial" w:cs="Arial"/>
          <w:snapToGrid w:val="0"/>
        </w:rPr>
        <w:t>IED pomocí vhodného testeru (</w:t>
      </w:r>
      <w:proofErr w:type="spellStart"/>
      <w:r w:rsidRPr="00EE5E43">
        <w:rPr>
          <w:rFonts w:ascii="Arial" w:hAnsi="Arial" w:cs="Arial"/>
          <w:snapToGrid w:val="0"/>
        </w:rPr>
        <w:t>Omicron</w:t>
      </w:r>
      <w:proofErr w:type="spellEnd"/>
      <w:r w:rsidRPr="00EE5E43">
        <w:rPr>
          <w:rFonts w:ascii="Arial" w:hAnsi="Arial" w:cs="Arial"/>
          <w:snapToGrid w:val="0"/>
        </w:rPr>
        <w:t>)</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Správné vydrátování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r w:rsidR="003E5727">
        <w:rPr>
          <w:rFonts w:ascii="Arial" w:hAnsi="Arial" w:cs="Arial"/>
          <w:snapToGrid w:val="0"/>
        </w:rPr>
        <w:t>EG.D</w:t>
      </w:r>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r w:rsidR="003E5727">
        <w:rPr>
          <w:rFonts w:ascii="Arial" w:hAnsi="Arial" w:cs="Arial"/>
          <w:snapToGrid w:val="0"/>
        </w:rPr>
        <w:t>EG.D</w:t>
      </w:r>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vydrátování (včetně instalace </w:t>
      </w:r>
      <w:r w:rsidR="00317A70">
        <w:rPr>
          <w:rFonts w:ascii="Arial" w:hAnsi="Arial" w:cs="Arial"/>
          <w:snapToGrid w:val="0"/>
        </w:rPr>
        <w:t>RTU/</w:t>
      </w:r>
      <w:r w:rsidRPr="00EE5E43">
        <w:rPr>
          <w:rFonts w:ascii="Arial" w:hAnsi="Arial" w:cs="Arial"/>
          <w:snapToGrid w:val="0"/>
        </w:rPr>
        <w:t>IED), MTP, MTN,</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w:t>
      </w:r>
      <w:proofErr w:type="gramStart"/>
      <w:r w:rsidRPr="00EE5E43">
        <w:rPr>
          <w:rFonts w:ascii="Arial" w:hAnsi="Arial" w:cs="Arial"/>
          <w:snapToGrid w:val="0"/>
        </w:rPr>
        <w:t>kontakty,</w:t>
      </w:r>
      <w:proofErr w:type="gramEnd"/>
      <w:r w:rsidRPr="00EE5E43">
        <w:rPr>
          <w:rFonts w:ascii="Arial" w:hAnsi="Arial" w:cs="Arial"/>
          <w:snapToGrid w:val="0"/>
        </w:rPr>
        <w:t xml:space="preserve"> atd.). V sestavě s polem kabelového vývodu s vypínačem bude jedno pole kabelového vývodu s vypínačem osazeno MTN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r w:rsidRPr="00EE5E43">
        <w:rPr>
          <w:rStyle w:val="nadpisclanku1"/>
          <w:b w:val="0"/>
          <w:i/>
        </w:rPr>
        <w:t>IED. Pro vypracování schémat zapojení poskytne zadavatel podklady k</w:t>
      </w:r>
      <w:r w:rsidR="00317A70">
        <w:rPr>
          <w:rStyle w:val="nadpisclanku1"/>
          <w:b w:val="0"/>
          <w:i/>
        </w:rPr>
        <w:t> RTU/</w:t>
      </w:r>
      <w:r w:rsidRPr="00EE5E43">
        <w:rPr>
          <w:rStyle w:val="nadpisclanku1"/>
          <w:b w:val="0"/>
          <w:i/>
        </w:rPr>
        <w:t>IED,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r w:rsidRPr="00EE5E43">
        <w:rPr>
          <w:rFonts w:ascii="Arial" w:hAnsi="Arial" w:cs="Arial"/>
          <w:i/>
          <w:snapToGrid w:val="0"/>
        </w:rPr>
        <w:t xml:space="preserve">IED a odpovědný pracovník </w:t>
      </w:r>
      <w:proofErr w:type="gramStart"/>
      <w:r w:rsidR="003E5727">
        <w:rPr>
          <w:rFonts w:ascii="Arial" w:hAnsi="Arial" w:cs="Arial"/>
          <w:i/>
          <w:snapToGrid w:val="0"/>
        </w:rPr>
        <w:t>EG.D</w:t>
      </w:r>
      <w:proofErr w:type="gramEnd"/>
      <w:r w:rsidRPr="00EE5E43">
        <w:rPr>
          <w:rFonts w:ascii="Arial" w:hAnsi="Arial" w:cs="Arial"/>
          <w:i/>
          <w:snapToGrid w:val="0"/>
        </w:rPr>
        <w:t>, který zajistí připojení do řídícího systému na odděleném počítači, na kterém bude přenos signálů kontrolován.</w:t>
      </w:r>
    </w:p>
    <w:bookmarkEnd w:id="11"/>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5F6EBCD4" w14:textId="77777777" w:rsidR="007009B5" w:rsidRDefault="00E32CCE" w:rsidP="008161ED">
      <w:pPr>
        <w:rPr>
          <w:rStyle w:val="nadpisclanku1"/>
          <w:b w:val="0"/>
          <w:bCs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Dokumenty v jiném jazyce budou předloženy včetně překladu do ČJ</w:t>
      </w:r>
      <w:r w:rsidR="001E280D">
        <w:rPr>
          <w:rStyle w:val="nadpisclanku1"/>
          <w:b w:val="0"/>
          <w:bCs w:val="0"/>
        </w:rPr>
        <w:t>.</w:t>
      </w:r>
      <w:r w:rsidR="009641F8">
        <w:rPr>
          <w:rStyle w:val="nadpisclanku1"/>
          <w:b w:val="0"/>
          <w:bCs w:val="0"/>
        </w:rPr>
        <w:t xml:space="preserve"> </w:t>
      </w:r>
    </w:p>
    <w:p w14:paraId="0C263676" w14:textId="055AD86E" w:rsidR="008161ED" w:rsidRPr="00EE5E43" w:rsidRDefault="009641F8" w:rsidP="008161ED">
      <w:pPr>
        <w:rPr>
          <w:rStyle w:val="nadpisclanku1"/>
          <w:b w:val="0"/>
        </w:rPr>
      </w:pPr>
      <w:r>
        <w:rPr>
          <w:rStyle w:val="nadpisclanku1"/>
          <w:b w:val="0"/>
          <w:bCs w:val="0"/>
        </w:rPr>
        <w:t xml:space="preserve">Výjimku lze po souhlasu se Zadavatelem </w:t>
      </w:r>
      <w:r w:rsidR="00822FED">
        <w:rPr>
          <w:rStyle w:val="nadpisclanku1"/>
          <w:b w:val="0"/>
          <w:bCs w:val="0"/>
        </w:rPr>
        <w:t>do</w:t>
      </w:r>
      <w:r w:rsidR="00094E8F">
        <w:rPr>
          <w:rStyle w:val="nadpisclanku1"/>
          <w:b w:val="0"/>
          <w:bCs w:val="0"/>
        </w:rPr>
        <w:t>hodnout</w:t>
      </w:r>
      <w:r w:rsidR="00822FED">
        <w:rPr>
          <w:rStyle w:val="nadpisclanku1"/>
          <w:b w:val="0"/>
          <w:bCs w:val="0"/>
        </w:rPr>
        <w:t xml:space="preserve"> u protokolů z typových zkoušek, </w:t>
      </w:r>
      <w:r w:rsidR="00E75C04">
        <w:rPr>
          <w:rStyle w:val="nadpisclanku1"/>
          <w:b w:val="0"/>
          <w:bCs w:val="0"/>
        </w:rPr>
        <w:t xml:space="preserve">provedených v zahraniční zkušebně. Zde je </w:t>
      </w:r>
      <w:r w:rsidR="007009B5">
        <w:rPr>
          <w:rStyle w:val="nadpisclanku1"/>
          <w:b w:val="0"/>
          <w:bCs w:val="0"/>
        </w:rPr>
        <w:t>přípustný anglický jazyk.</w:t>
      </w:r>
    </w:p>
    <w:p w14:paraId="0C263677" w14:textId="77777777" w:rsidR="002861D1" w:rsidRPr="00EE5E43" w:rsidRDefault="002861D1" w:rsidP="008161ED">
      <w:pPr>
        <w:rPr>
          <w:rStyle w:val="nadpisclanku1"/>
          <w:b w:val="0"/>
        </w:rPr>
      </w:pPr>
      <w:bookmarkStart w:id="12" w:name="_Hlk19103127"/>
      <w:r w:rsidRPr="00EE5E43">
        <w:rPr>
          <w:rFonts w:ascii="Arial" w:hAnsi="Arial" w:cs="Arial"/>
          <w:noProof/>
        </w:rPr>
        <w:t>Předložená dokumentace musí odpovídat ČSN EN 61082-1</w:t>
      </w:r>
      <w:bookmarkEnd w:id="12"/>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w:t>
      </w:r>
      <w:proofErr w:type="gramStart"/>
      <w:r w:rsidRPr="00EE5E43">
        <w:rPr>
          <w:rStyle w:val="nadpisclanku1"/>
          <w:b w:val="0"/>
        </w:rPr>
        <w:t>palety,</w:t>
      </w:r>
      <w:proofErr w:type="gramEnd"/>
      <w:r w:rsidRPr="00EE5E43">
        <w:rPr>
          <w:rStyle w:val="nadpisclanku1"/>
          <w:b w:val="0"/>
        </w:rPr>
        <w:t xml:space="preserve">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435585F2" w14:textId="77777777" w:rsidR="00057EA5"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w:t>
      </w:r>
    </w:p>
    <w:p w14:paraId="0C26369B" w14:textId="62AA1328" w:rsidR="00E00A38"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31ADBEFF" w14:textId="4FC8B1DB" w:rsidR="007E230F" w:rsidRPr="00EE5E43" w:rsidRDefault="00057EA5" w:rsidP="00861947">
      <w:pPr>
        <w:ind w:left="426" w:hanging="142"/>
        <w:rPr>
          <w:rStyle w:val="nadpisclanku1"/>
          <w:b w:val="0"/>
        </w:rPr>
      </w:pPr>
      <w:r w:rsidRPr="00EE5E43">
        <w:rPr>
          <w:rStyle w:val="nadpisclanku1"/>
          <w:b w:val="0"/>
        </w:rPr>
        <w:t xml:space="preserve">• </w:t>
      </w:r>
      <w:r>
        <w:rPr>
          <w:rStyle w:val="nadpisclanku1"/>
          <w:b w:val="0"/>
        </w:rPr>
        <w:t>na rozvaděči s obalem musí být umístěny p</w:t>
      </w:r>
      <w:r w:rsidR="007E230F">
        <w:rPr>
          <w:rStyle w:val="nadpisclanku1"/>
          <w:b w:val="0"/>
        </w:rPr>
        <w:t xml:space="preserve">iktogramy pro </w:t>
      </w:r>
      <w:r>
        <w:rPr>
          <w:rStyle w:val="nadpisclanku1"/>
          <w:b w:val="0"/>
        </w:rPr>
        <w:t xml:space="preserve">manipulaci s rozvaděčem a </w:t>
      </w:r>
      <w:r w:rsidR="007E230F">
        <w:rPr>
          <w:rStyle w:val="nadpisclanku1"/>
          <w:b w:val="0"/>
        </w:rPr>
        <w:t>musí být jasně viditelné</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w:t>
      </w:r>
      <w:proofErr w:type="gramStart"/>
      <w:r w:rsidRPr="00EE5E43">
        <w:rPr>
          <w:rStyle w:val="nadpisclanku1"/>
          <w:b w:val="0"/>
        </w:rPr>
        <w:t>páky,</w:t>
      </w:r>
      <w:proofErr w:type="gramEnd"/>
      <w:r w:rsidRPr="00EE5E43">
        <w:rPr>
          <w:rStyle w:val="nadpisclanku1"/>
          <w:b w:val="0"/>
        </w:rPr>
        <w:t xml:space="preserve">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správnosti vydrátování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0C2636AA" w14:textId="15057C6E"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r w:rsidR="00FF34B1" w:rsidRPr="006E381D">
        <w:rPr>
          <w:rFonts w:ascii="Arial" w:hAnsi="Arial" w:cs="Arial"/>
          <w:snapToGrid w:val="0"/>
        </w:rPr>
        <w:t xml:space="preserve">1,89 </w:t>
      </w:r>
      <w:proofErr w:type="spellStart"/>
      <w:r w:rsidRPr="006E381D">
        <w:rPr>
          <w:rFonts w:ascii="Arial" w:hAnsi="Arial" w:cs="Arial"/>
          <w:snapToGrid w:val="0"/>
        </w:rPr>
        <w:t>kV</w:t>
      </w:r>
      <w:proofErr w:type="spellEnd"/>
      <w:r w:rsidRPr="006E381D">
        <w:rPr>
          <w:rFonts w:ascii="Arial" w:hAnsi="Arial" w:cs="Arial"/>
          <w:snapToGrid w:val="0"/>
        </w:rPr>
        <w:t xml:space="preserve"> po dobu 1 </w:t>
      </w:r>
      <w:r w:rsidR="00FF34B1" w:rsidRPr="006E381D">
        <w:rPr>
          <w:rFonts w:ascii="Arial" w:hAnsi="Arial" w:cs="Arial"/>
          <w:snapToGrid w:val="0"/>
        </w:rPr>
        <w:t xml:space="preserve">sekundy </w:t>
      </w:r>
      <w:r w:rsidRPr="00A31DC2">
        <w:rPr>
          <w:rFonts w:ascii="Arial" w:hAnsi="Arial" w:cs="Arial"/>
          <w:snapToGrid w:val="0"/>
          <w:color w:val="000000"/>
        </w:rPr>
        <w:t>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17FAFF01" w:rsidR="00473CA3"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proofErr w:type="spellStart"/>
      <w:r w:rsidRPr="00A31DC2">
        <w:rPr>
          <w:rFonts w:ascii="Arial" w:hAnsi="Arial" w:cs="Arial"/>
          <w:snapToGrid w:val="0"/>
          <w:color w:val="000000"/>
        </w:rPr>
        <w:t>Check</w:t>
      </w:r>
      <w:proofErr w:type="spellEnd"/>
      <w:r w:rsidRPr="00A31DC2">
        <w:rPr>
          <w:rFonts w:ascii="Arial" w:hAnsi="Arial" w:cs="Arial"/>
          <w:snapToGrid w:val="0"/>
          <w:color w:val="000000"/>
        </w:rPr>
        <w:t xml:space="preserve"> list zpracovaný na základě dokumentu „Seznam přenášených signálů“.</w:t>
      </w: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1" w14:textId="4C110BE9" w:rsidR="00951E22" w:rsidRPr="00EE5E43" w:rsidRDefault="00951E22" w:rsidP="006E381D">
      <w:pPr>
        <w:tabs>
          <w:tab w:val="left" w:pos="284"/>
        </w:tabs>
        <w:spacing w:before="80"/>
        <w:jc w:val="both"/>
        <w:rPr>
          <w:rFonts w:ascii="Arial" w:hAnsi="Arial" w:cs="Arial"/>
        </w:rPr>
      </w:pPr>
      <w:r w:rsidRPr="00EE5E43">
        <w:rPr>
          <w:rFonts w:ascii="Arial" w:hAnsi="Arial" w:cs="Arial"/>
          <w:snapToGrid w:val="0"/>
          <w:color w:val="000000"/>
        </w:rPr>
        <w:t>Všechny dokumenty musí být v českém jazyce.</w:t>
      </w:r>
      <w:r w:rsidR="00F04997">
        <w:rPr>
          <w:rFonts w:ascii="Arial" w:hAnsi="Arial" w:cs="Arial"/>
          <w:snapToGrid w:val="0"/>
          <w:color w:val="000000"/>
        </w:rPr>
        <w:t xml:space="preserve">  </w:t>
      </w: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55831579"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p>
    <w:p w14:paraId="0C2636BB" w14:textId="10631AF8"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A1</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450E50B2"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A2</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vydrátování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IEC</w:t>
      </w:r>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513A83C5"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A3</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4CDE04DE"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A4</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7C6D8C7D"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Příloha č.</w:t>
      </w:r>
      <w:r w:rsidR="009A7EF5">
        <w:rPr>
          <w:rFonts w:ascii="Arial" w:hAnsi="Arial" w:cs="Arial"/>
          <w:snapToGrid w:val="0"/>
          <w:color w:val="000000"/>
        </w:rPr>
        <w:t xml:space="preserve"> </w:t>
      </w:r>
      <w:r w:rsidRPr="002D406D">
        <w:rPr>
          <w:rFonts w:ascii="Arial" w:hAnsi="Arial" w:cs="Arial"/>
          <w:snapToGrid w:val="0"/>
          <w:color w:val="000000"/>
        </w:rPr>
        <w:t>A5</w:t>
      </w:r>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vydrátování SMART rozvaděče pro zapojení </w:t>
      </w:r>
      <w:r>
        <w:rPr>
          <w:rFonts w:ascii="Arial" w:hAnsi="Arial" w:cs="Arial"/>
          <w:snapToGrid w:val="0"/>
          <w:color w:val="000000"/>
        </w:rPr>
        <w:t>KKSKKT</w:t>
      </w:r>
    </w:p>
    <w:p w14:paraId="0C2636C4" w14:textId="3AD25F24" w:rsidR="005831AD" w:rsidRPr="00FF34B1" w:rsidRDefault="00375D92" w:rsidP="00FF34B1">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0C2636C5" w14:textId="77777777" w:rsidR="005831AD" w:rsidRDefault="005831AD" w:rsidP="00394A60">
      <w:pPr>
        <w:tabs>
          <w:tab w:val="left" w:pos="284"/>
        </w:tabs>
        <w:spacing w:before="80"/>
        <w:jc w:val="both"/>
        <w:rPr>
          <w:rFonts w:ascii="Arial" w:hAnsi="Arial" w:cs="Arial"/>
          <w:snapToGrid w:val="0"/>
          <w:color w:val="000000"/>
        </w:rPr>
      </w:pPr>
    </w:p>
    <w:p w14:paraId="4EC3D1B3" w14:textId="1DB558E8" w:rsidR="00A10393" w:rsidRPr="00EE5E43" w:rsidRDefault="00A10393" w:rsidP="00394A60">
      <w:pPr>
        <w:tabs>
          <w:tab w:val="left" w:pos="284"/>
        </w:tabs>
        <w:spacing w:before="80"/>
        <w:jc w:val="both"/>
        <w:rPr>
          <w:rFonts w:ascii="Arial" w:hAnsi="Arial" w:cs="Arial"/>
          <w:snapToGrid w:val="0"/>
          <w:color w:val="000000"/>
        </w:rPr>
      </w:pPr>
      <w:r>
        <w:rPr>
          <w:rFonts w:ascii="Arial" w:hAnsi="Arial" w:cs="Arial"/>
          <w:snapToGrid w:val="0"/>
          <w:color w:val="000000"/>
        </w:rPr>
        <w:t>Příloha č.</w:t>
      </w:r>
      <w:r w:rsidR="00360386">
        <w:rPr>
          <w:rFonts w:ascii="Arial" w:hAnsi="Arial" w:cs="Arial"/>
          <w:snapToGrid w:val="0"/>
          <w:color w:val="000000"/>
        </w:rPr>
        <w:t xml:space="preserve"> </w:t>
      </w:r>
      <w:r>
        <w:rPr>
          <w:rFonts w:ascii="Arial" w:hAnsi="Arial" w:cs="Arial"/>
          <w:snapToGrid w:val="0"/>
          <w:color w:val="000000"/>
        </w:rPr>
        <w:t>6</w:t>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sidR="009C2476">
        <w:rPr>
          <w:rFonts w:ascii="Arial" w:hAnsi="Arial" w:cs="Arial"/>
          <w:snapToGrid w:val="0"/>
          <w:color w:val="000000"/>
        </w:rPr>
        <w:tab/>
      </w:r>
      <w:r w:rsidR="009C2476" w:rsidRPr="009C2476">
        <w:rPr>
          <w:rFonts w:ascii="Arial" w:hAnsi="Arial" w:cs="Arial"/>
          <w:snapToGrid w:val="0"/>
          <w:color w:val="000000"/>
        </w:rPr>
        <w:t>Datový list k plynovým oddílům a přístrojům pro kontrolu těsnosti</w:t>
      </w:r>
    </w:p>
    <w:sectPr w:rsidR="00A10393" w:rsidRPr="00EE5E43" w:rsidSect="001C2461">
      <w:footerReference w:type="even" r:id="rId15"/>
      <w:footerReference w:type="default" r:id="rId16"/>
      <w:headerReference w:type="first" r:id="rId17"/>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96C90" w14:textId="77777777" w:rsidR="002D444C" w:rsidRDefault="002D444C">
      <w:r>
        <w:separator/>
      </w:r>
    </w:p>
  </w:endnote>
  <w:endnote w:type="continuationSeparator" w:id="0">
    <w:p w14:paraId="031AB24F" w14:textId="77777777" w:rsidR="002D444C" w:rsidRDefault="002D444C">
      <w:r>
        <w:continuationSeparator/>
      </w:r>
    </w:p>
  </w:endnote>
  <w:endnote w:type="continuationNotice" w:id="1">
    <w:p w14:paraId="0CEA5C3B" w14:textId="77777777" w:rsidR="002D444C" w:rsidRDefault="002D4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830826"/>
      <w:docPartObj>
        <w:docPartGallery w:val="Page Numbers (Bottom of Page)"/>
        <w:docPartUnique/>
      </w:docPartObj>
    </w:sdtPr>
    <w:sdtEnd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C6F42" w14:textId="77777777" w:rsidR="002D444C" w:rsidRDefault="002D444C">
      <w:r>
        <w:separator/>
      </w:r>
    </w:p>
  </w:footnote>
  <w:footnote w:type="continuationSeparator" w:id="0">
    <w:p w14:paraId="08190436" w14:textId="77777777" w:rsidR="002D444C" w:rsidRDefault="002D444C">
      <w:r>
        <w:continuationSeparator/>
      </w:r>
    </w:p>
  </w:footnote>
  <w:footnote w:type="continuationNotice" w:id="1">
    <w:p w14:paraId="5888FFAE" w14:textId="77777777" w:rsidR="002D444C" w:rsidRDefault="002D44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47DC" w14:textId="77777777" w:rsidR="0033385A" w:rsidRDefault="0033385A" w:rsidP="0033385A">
    <w:pPr>
      <w:pStyle w:val="Zhlav"/>
      <w:jc w:val="right"/>
      <w:rPr>
        <w:b/>
        <w:sz w:val="18"/>
      </w:rPr>
    </w:pPr>
    <w:r>
      <w:rPr>
        <w:b/>
        <w:sz w:val="18"/>
      </w:rPr>
      <w:t xml:space="preserve">Číslo smlouvy kupujícího: </w:t>
    </w:r>
    <w:r w:rsidRPr="00905B88">
      <w:rPr>
        <w:b/>
        <w:sz w:val="18"/>
        <w:highlight w:val="green"/>
      </w:rPr>
      <w:t>následně doplní zadavatel</w:t>
    </w:r>
  </w:p>
  <w:p w14:paraId="12226E62" w14:textId="77777777" w:rsidR="0033385A" w:rsidRDefault="0033385A" w:rsidP="0033385A">
    <w:pPr>
      <w:pStyle w:val="Zhlav"/>
      <w:jc w:val="right"/>
      <w:rPr>
        <w:b/>
        <w:sz w:val="18"/>
      </w:rPr>
    </w:pPr>
    <w:r>
      <w:rPr>
        <w:b/>
        <w:sz w:val="18"/>
      </w:rPr>
      <w:t xml:space="preserve">Číslo smlouvy prodávajícího č. 1: </w:t>
    </w:r>
    <w:r w:rsidRPr="00905B88">
      <w:rPr>
        <w:b/>
        <w:sz w:val="18"/>
        <w:highlight w:val="yellow"/>
      </w:rPr>
      <w:t>doplní účastník</w:t>
    </w:r>
  </w:p>
  <w:p w14:paraId="4DF16690" w14:textId="77777777" w:rsidR="0033385A" w:rsidRDefault="0033385A" w:rsidP="0033385A">
    <w:pPr>
      <w:pStyle w:val="Zhlav"/>
      <w:jc w:val="right"/>
      <w:rPr>
        <w:b/>
        <w:sz w:val="18"/>
      </w:rPr>
    </w:pPr>
    <w:r>
      <w:rPr>
        <w:b/>
        <w:sz w:val="18"/>
      </w:rPr>
      <w:t xml:space="preserve">Číslo smlouvy prodávajícího č. 2: </w:t>
    </w:r>
    <w:r w:rsidRPr="00905B88">
      <w:rPr>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394641F4"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3B6D23">
      <w:rPr>
        <w:rFonts w:ascii="Arial" w:hAnsi="Arial" w:cs="Arial"/>
        <w:b/>
        <w:sz w:val="24"/>
      </w:rPr>
      <w:t xml:space="preserve"> III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0C93FFE"/>
    <w:multiLevelType w:val="hybridMultilevel"/>
    <w:tmpl w:val="F7E81C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4"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8"/>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6"/>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2"/>
  </w:num>
  <w:num w:numId="18" w16cid:durableId="943614354">
    <w:abstractNumId w:val="28"/>
  </w:num>
  <w:num w:numId="19" w16cid:durableId="1704401114">
    <w:abstractNumId w:val="14"/>
  </w:num>
  <w:num w:numId="20" w16cid:durableId="425394427">
    <w:abstractNumId w:val="39"/>
  </w:num>
  <w:num w:numId="21" w16cid:durableId="954099339">
    <w:abstractNumId w:val="11"/>
  </w:num>
  <w:num w:numId="22" w16cid:durableId="936401551">
    <w:abstractNumId w:val="5"/>
  </w:num>
  <w:num w:numId="23" w16cid:durableId="1501040278">
    <w:abstractNumId w:val="35"/>
  </w:num>
  <w:num w:numId="24" w16cid:durableId="908999118">
    <w:abstractNumId w:val="34"/>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7"/>
  </w:num>
  <w:num w:numId="35" w16cid:durableId="807550113">
    <w:abstractNumId w:val="1"/>
  </w:num>
  <w:num w:numId="36" w16cid:durableId="769158118">
    <w:abstractNumId w:val="31"/>
  </w:num>
  <w:num w:numId="37" w16cid:durableId="553854348">
    <w:abstractNumId w:val="33"/>
  </w:num>
  <w:num w:numId="38" w16cid:durableId="1155729901">
    <w:abstractNumId w:val="8"/>
  </w:num>
  <w:num w:numId="39" w16cid:durableId="885217290">
    <w:abstractNumId w:val="3"/>
  </w:num>
  <w:num w:numId="40" w16cid:durableId="818309830">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6C"/>
    <w:rsid w:val="00004274"/>
    <w:rsid w:val="00005FEE"/>
    <w:rsid w:val="000068F9"/>
    <w:rsid w:val="00006B09"/>
    <w:rsid w:val="000107C7"/>
    <w:rsid w:val="00010BB1"/>
    <w:rsid w:val="00010E4E"/>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4693B"/>
    <w:rsid w:val="00054C9C"/>
    <w:rsid w:val="000557E1"/>
    <w:rsid w:val="00055A11"/>
    <w:rsid w:val="00056164"/>
    <w:rsid w:val="0005690D"/>
    <w:rsid w:val="000569BA"/>
    <w:rsid w:val="00057EA5"/>
    <w:rsid w:val="00060275"/>
    <w:rsid w:val="0006138C"/>
    <w:rsid w:val="00070757"/>
    <w:rsid w:val="00070A84"/>
    <w:rsid w:val="000710EB"/>
    <w:rsid w:val="00071E1F"/>
    <w:rsid w:val="00072677"/>
    <w:rsid w:val="00072C01"/>
    <w:rsid w:val="00073549"/>
    <w:rsid w:val="000737E0"/>
    <w:rsid w:val="000751EA"/>
    <w:rsid w:val="000751FE"/>
    <w:rsid w:val="0007598A"/>
    <w:rsid w:val="00076F61"/>
    <w:rsid w:val="00081FA8"/>
    <w:rsid w:val="000821C7"/>
    <w:rsid w:val="00083806"/>
    <w:rsid w:val="000859BE"/>
    <w:rsid w:val="00090497"/>
    <w:rsid w:val="00090BCF"/>
    <w:rsid w:val="00090D27"/>
    <w:rsid w:val="0009136D"/>
    <w:rsid w:val="0009171D"/>
    <w:rsid w:val="00093AE4"/>
    <w:rsid w:val="00093D40"/>
    <w:rsid w:val="00094E8F"/>
    <w:rsid w:val="00095B65"/>
    <w:rsid w:val="00095C65"/>
    <w:rsid w:val="000A0689"/>
    <w:rsid w:val="000A0A41"/>
    <w:rsid w:val="000A315B"/>
    <w:rsid w:val="000A36FA"/>
    <w:rsid w:val="000A3E73"/>
    <w:rsid w:val="000A3F01"/>
    <w:rsid w:val="000A3F79"/>
    <w:rsid w:val="000A4C7A"/>
    <w:rsid w:val="000A4D51"/>
    <w:rsid w:val="000A5B63"/>
    <w:rsid w:val="000A5CA9"/>
    <w:rsid w:val="000A7FD6"/>
    <w:rsid w:val="000B0AA8"/>
    <w:rsid w:val="000C06B3"/>
    <w:rsid w:val="000C1407"/>
    <w:rsid w:val="000C172E"/>
    <w:rsid w:val="000C29FD"/>
    <w:rsid w:val="000C34C4"/>
    <w:rsid w:val="000C380D"/>
    <w:rsid w:val="000C3C41"/>
    <w:rsid w:val="000C3D44"/>
    <w:rsid w:val="000C61E3"/>
    <w:rsid w:val="000D1157"/>
    <w:rsid w:val="000D179A"/>
    <w:rsid w:val="000D2ACD"/>
    <w:rsid w:val="000D338A"/>
    <w:rsid w:val="000D407F"/>
    <w:rsid w:val="000D4238"/>
    <w:rsid w:val="000D552B"/>
    <w:rsid w:val="000D799A"/>
    <w:rsid w:val="000D7D84"/>
    <w:rsid w:val="000E260A"/>
    <w:rsid w:val="000E3CF0"/>
    <w:rsid w:val="000E4BED"/>
    <w:rsid w:val="000E540B"/>
    <w:rsid w:val="000E5D96"/>
    <w:rsid w:val="000E5F15"/>
    <w:rsid w:val="000E7030"/>
    <w:rsid w:val="000E7074"/>
    <w:rsid w:val="000F0466"/>
    <w:rsid w:val="000F10CA"/>
    <w:rsid w:val="000F17D6"/>
    <w:rsid w:val="000F1939"/>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441A"/>
    <w:rsid w:val="00145806"/>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03FB"/>
    <w:rsid w:val="00192F2F"/>
    <w:rsid w:val="00192F3C"/>
    <w:rsid w:val="00195023"/>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280D"/>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07079"/>
    <w:rsid w:val="00212C1F"/>
    <w:rsid w:val="002135C7"/>
    <w:rsid w:val="00214506"/>
    <w:rsid w:val="00214CC6"/>
    <w:rsid w:val="002155B2"/>
    <w:rsid w:val="00215C9B"/>
    <w:rsid w:val="0021627C"/>
    <w:rsid w:val="00216DDA"/>
    <w:rsid w:val="00217705"/>
    <w:rsid w:val="0022028A"/>
    <w:rsid w:val="00220711"/>
    <w:rsid w:val="0022113B"/>
    <w:rsid w:val="00221BA1"/>
    <w:rsid w:val="00224422"/>
    <w:rsid w:val="002268A9"/>
    <w:rsid w:val="0022717A"/>
    <w:rsid w:val="00230C63"/>
    <w:rsid w:val="0023406C"/>
    <w:rsid w:val="00235928"/>
    <w:rsid w:val="00236981"/>
    <w:rsid w:val="00242102"/>
    <w:rsid w:val="00243FE9"/>
    <w:rsid w:val="0024491D"/>
    <w:rsid w:val="00245983"/>
    <w:rsid w:val="00245A50"/>
    <w:rsid w:val="00246025"/>
    <w:rsid w:val="002463DA"/>
    <w:rsid w:val="00251449"/>
    <w:rsid w:val="002532DA"/>
    <w:rsid w:val="0025374F"/>
    <w:rsid w:val="00253B88"/>
    <w:rsid w:val="0026032C"/>
    <w:rsid w:val="00260E79"/>
    <w:rsid w:val="002619CB"/>
    <w:rsid w:val="00263E8F"/>
    <w:rsid w:val="00263F33"/>
    <w:rsid w:val="002648C5"/>
    <w:rsid w:val="0026594A"/>
    <w:rsid w:val="00265CBE"/>
    <w:rsid w:val="00265E10"/>
    <w:rsid w:val="00266485"/>
    <w:rsid w:val="002665DB"/>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3"/>
    <w:rsid w:val="0029326B"/>
    <w:rsid w:val="0029426C"/>
    <w:rsid w:val="002A2D14"/>
    <w:rsid w:val="002A31F5"/>
    <w:rsid w:val="002A3C4A"/>
    <w:rsid w:val="002A45F2"/>
    <w:rsid w:val="002A4997"/>
    <w:rsid w:val="002A6776"/>
    <w:rsid w:val="002A6A22"/>
    <w:rsid w:val="002B1FCD"/>
    <w:rsid w:val="002B21E8"/>
    <w:rsid w:val="002B5223"/>
    <w:rsid w:val="002B60E0"/>
    <w:rsid w:val="002B6719"/>
    <w:rsid w:val="002B7274"/>
    <w:rsid w:val="002B7CAB"/>
    <w:rsid w:val="002C1592"/>
    <w:rsid w:val="002C187B"/>
    <w:rsid w:val="002C2409"/>
    <w:rsid w:val="002C2C48"/>
    <w:rsid w:val="002C30B3"/>
    <w:rsid w:val="002C3873"/>
    <w:rsid w:val="002C4E96"/>
    <w:rsid w:val="002C56F6"/>
    <w:rsid w:val="002D0D29"/>
    <w:rsid w:val="002D3042"/>
    <w:rsid w:val="002D406D"/>
    <w:rsid w:val="002D444C"/>
    <w:rsid w:val="002D495E"/>
    <w:rsid w:val="002D5099"/>
    <w:rsid w:val="002D5F62"/>
    <w:rsid w:val="002D6418"/>
    <w:rsid w:val="002E261D"/>
    <w:rsid w:val="002E28B9"/>
    <w:rsid w:val="002E3103"/>
    <w:rsid w:val="002E3E7C"/>
    <w:rsid w:val="002E3FCE"/>
    <w:rsid w:val="002E43C7"/>
    <w:rsid w:val="002E48CC"/>
    <w:rsid w:val="002E4C4F"/>
    <w:rsid w:val="002E7A87"/>
    <w:rsid w:val="002F025D"/>
    <w:rsid w:val="002F1A8C"/>
    <w:rsid w:val="002F5398"/>
    <w:rsid w:val="002F64E2"/>
    <w:rsid w:val="00301614"/>
    <w:rsid w:val="003017F4"/>
    <w:rsid w:val="00302B14"/>
    <w:rsid w:val="00304399"/>
    <w:rsid w:val="00304AB1"/>
    <w:rsid w:val="00305049"/>
    <w:rsid w:val="00305A56"/>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5A"/>
    <w:rsid w:val="0033389D"/>
    <w:rsid w:val="00333E04"/>
    <w:rsid w:val="003362DE"/>
    <w:rsid w:val="00336754"/>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386"/>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873A4"/>
    <w:rsid w:val="003905D2"/>
    <w:rsid w:val="00390B00"/>
    <w:rsid w:val="00390C83"/>
    <w:rsid w:val="00390CB7"/>
    <w:rsid w:val="003928B3"/>
    <w:rsid w:val="00393091"/>
    <w:rsid w:val="003941E4"/>
    <w:rsid w:val="00394A60"/>
    <w:rsid w:val="00397D33"/>
    <w:rsid w:val="003A08BD"/>
    <w:rsid w:val="003A100C"/>
    <w:rsid w:val="003A1A24"/>
    <w:rsid w:val="003A2C8B"/>
    <w:rsid w:val="003A729B"/>
    <w:rsid w:val="003A73FB"/>
    <w:rsid w:val="003B0A3B"/>
    <w:rsid w:val="003B0FB4"/>
    <w:rsid w:val="003B19B1"/>
    <w:rsid w:val="003B1E48"/>
    <w:rsid w:val="003B1FE6"/>
    <w:rsid w:val="003B3CFB"/>
    <w:rsid w:val="003B4ABA"/>
    <w:rsid w:val="003B50AC"/>
    <w:rsid w:val="003B50E9"/>
    <w:rsid w:val="003B67EF"/>
    <w:rsid w:val="003B6D23"/>
    <w:rsid w:val="003B71F2"/>
    <w:rsid w:val="003B7ABA"/>
    <w:rsid w:val="003C0D9F"/>
    <w:rsid w:val="003C25D7"/>
    <w:rsid w:val="003C2BD5"/>
    <w:rsid w:val="003C6330"/>
    <w:rsid w:val="003C6434"/>
    <w:rsid w:val="003C70E7"/>
    <w:rsid w:val="003D0104"/>
    <w:rsid w:val="003D0731"/>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0047"/>
    <w:rsid w:val="004115C3"/>
    <w:rsid w:val="004149DB"/>
    <w:rsid w:val="004155A0"/>
    <w:rsid w:val="00416D2D"/>
    <w:rsid w:val="0041770B"/>
    <w:rsid w:val="004178A7"/>
    <w:rsid w:val="00420517"/>
    <w:rsid w:val="004206B3"/>
    <w:rsid w:val="00420B6D"/>
    <w:rsid w:val="004215DD"/>
    <w:rsid w:val="0042190B"/>
    <w:rsid w:val="00421E0E"/>
    <w:rsid w:val="00421F60"/>
    <w:rsid w:val="00424BC5"/>
    <w:rsid w:val="00426B71"/>
    <w:rsid w:val="00426BE8"/>
    <w:rsid w:val="00427596"/>
    <w:rsid w:val="00427F6E"/>
    <w:rsid w:val="00432CF7"/>
    <w:rsid w:val="00435168"/>
    <w:rsid w:val="0043592F"/>
    <w:rsid w:val="00435A6F"/>
    <w:rsid w:val="0043724D"/>
    <w:rsid w:val="00443246"/>
    <w:rsid w:val="00443384"/>
    <w:rsid w:val="00445FF5"/>
    <w:rsid w:val="00447F59"/>
    <w:rsid w:val="00451039"/>
    <w:rsid w:val="00451F21"/>
    <w:rsid w:val="0045249A"/>
    <w:rsid w:val="00453764"/>
    <w:rsid w:val="00453DF2"/>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3B9"/>
    <w:rsid w:val="0049066F"/>
    <w:rsid w:val="0049069B"/>
    <w:rsid w:val="00490878"/>
    <w:rsid w:val="00490BE3"/>
    <w:rsid w:val="004914C5"/>
    <w:rsid w:val="00493F6C"/>
    <w:rsid w:val="004943FD"/>
    <w:rsid w:val="0049451C"/>
    <w:rsid w:val="00495092"/>
    <w:rsid w:val="00495B20"/>
    <w:rsid w:val="00496AAC"/>
    <w:rsid w:val="00496F02"/>
    <w:rsid w:val="00497B19"/>
    <w:rsid w:val="004A074A"/>
    <w:rsid w:val="004A1E79"/>
    <w:rsid w:val="004A28D4"/>
    <w:rsid w:val="004A596A"/>
    <w:rsid w:val="004A5D98"/>
    <w:rsid w:val="004A72A3"/>
    <w:rsid w:val="004A77E3"/>
    <w:rsid w:val="004A7823"/>
    <w:rsid w:val="004B0E9D"/>
    <w:rsid w:val="004B16EE"/>
    <w:rsid w:val="004B2BEA"/>
    <w:rsid w:val="004B4C7B"/>
    <w:rsid w:val="004B6D42"/>
    <w:rsid w:val="004B74E7"/>
    <w:rsid w:val="004B76B9"/>
    <w:rsid w:val="004C1752"/>
    <w:rsid w:val="004C1F88"/>
    <w:rsid w:val="004C459D"/>
    <w:rsid w:val="004C4668"/>
    <w:rsid w:val="004C4C36"/>
    <w:rsid w:val="004C7FEF"/>
    <w:rsid w:val="004D0A03"/>
    <w:rsid w:val="004D133B"/>
    <w:rsid w:val="004D3532"/>
    <w:rsid w:val="004D3D2F"/>
    <w:rsid w:val="004D6DB2"/>
    <w:rsid w:val="004D7D14"/>
    <w:rsid w:val="004E0486"/>
    <w:rsid w:val="004E0901"/>
    <w:rsid w:val="004E0F5A"/>
    <w:rsid w:val="004E4816"/>
    <w:rsid w:val="004E5823"/>
    <w:rsid w:val="004E5F32"/>
    <w:rsid w:val="004F0A8F"/>
    <w:rsid w:val="004F0D1D"/>
    <w:rsid w:val="004F11E6"/>
    <w:rsid w:val="004F184B"/>
    <w:rsid w:val="004F23AB"/>
    <w:rsid w:val="004F40B8"/>
    <w:rsid w:val="004F4F8B"/>
    <w:rsid w:val="004F7220"/>
    <w:rsid w:val="004F7930"/>
    <w:rsid w:val="004F7D63"/>
    <w:rsid w:val="00500372"/>
    <w:rsid w:val="00500C41"/>
    <w:rsid w:val="00501EF3"/>
    <w:rsid w:val="00506044"/>
    <w:rsid w:val="00507025"/>
    <w:rsid w:val="00507415"/>
    <w:rsid w:val="0050770D"/>
    <w:rsid w:val="00507D0F"/>
    <w:rsid w:val="0051014E"/>
    <w:rsid w:val="0051080D"/>
    <w:rsid w:val="005116C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47E30"/>
    <w:rsid w:val="005503AC"/>
    <w:rsid w:val="00550592"/>
    <w:rsid w:val="005507E3"/>
    <w:rsid w:val="00550BA3"/>
    <w:rsid w:val="0055195E"/>
    <w:rsid w:val="00551D77"/>
    <w:rsid w:val="0055330E"/>
    <w:rsid w:val="00555072"/>
    <w:rsid w:val="0055782F"/>
    <w:rsid w:val="00557F05"/>
    <w:rsid w:val="00561467"/>
    <w:rsid w:val="005628AF"/>
    <w:rsid w:val="00563336"/>
    <w:rsid w:val="00563F29"/>
    <w:rsid w:val="00565780"/>
    <w:rsid w:val="00566837"/>
    <w:rsid w:val="00567932"/>
    <w:rsid w:val="00571228"/>
    <w:rsid w:val="00571447"/>
    <w:rsid w:val="00571947"/>
    <w:rsid w:val="00572595"/>
    <w:rsid w:val="00573FA6"/>
    <w:rsid w:val="0057447A"/>
    <w:rsid w:val="0057562F"/>
    <w:rsid w:val="00577725"/>
    <w:rsid w:val="00577D7B"/>
    <w:rsid w:val="00577D9A"/>
    <w:rsid w:val="00581F93"/>
    <w:rsid w:val="00582290"/>
    <w:rsid w:val="005822E6"/>
    <w:rsid w:val="00582543"/>
    <w:rsid w:val="005831AD"/>
    <w:rsid w:val="00584174"/>
    <w:rsid w:val="00585455"/>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44C3"/>
    <w:rsid w:val="005A50B3"/>
    <w:rsid w:val="005A78A9"/>
    <w:rsid w:val="005A7B49"/>
    <w:rsid w:val="005B114B"/>
    <w:rsid w:val="005B276D"/>
    <w:rsid w:val="005B3D1B"/>
    <w:rsid w:val="005B4B5A"/>
    <w:rsid w:val="005B6729"/>
    <w:rsid w:val="005B6C0C"/>
    <w:rsid w:val="005B7AF6"/>
    <w:rsid w:val="005C042C"/>
    <w:rsid w:val="005C0D98"/>
    <w:rsid w:val="005C214D"/>
    <w:rsid w:val="005C289A"/>
    <w:rsid w:val="005C5BD2"/>
    <w:rsid w:val="005C64A8"/>
    <w:rsid w:val="005C6A0B"/>
    <w:rsid w:val="005C7766"/>
    <w:rsid w:val="005D1D13"/>
    <w:rsid w:val="005D2F73"/>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88E"/>
    <w:rsid w:val="005F0D3C"/>
    <w:rsid w:val="005F230E"/>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4B3"/>
    <w:rsid w:val="00613DB6"/>
    <w:rsid w:val="00616013"/>
    <w:rsid w:val="00616156"/>
    <w:rsid w:val="00616DB2"/>
    <w:rsid w:val="00620A55"/>
    <w:rsid w:val="00621C5E"/>
    <w:rsid w:val="00624E38"/>
    <w:rsid w:val="00625ADB"/>
    <w:rsid w:val="00626295"/>
    <w:rsid w:val="00627A24"/>
    <w:rsid w:val="00627D89"/>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74D"/>
    <w:rsid w:val="00660DC7"/>
    <w:rsid w:val="00663100"/>
    <w:rsid w:val="006637BF"/>
    <w:rsid w:val="00666C6A"/>
    <w:rsid w:val="00667434"/>
    <w:rsid w:val="00667AA4"/>
    <w:rsid w:val="00670386"/>
    <w:rsid w:val="00670878"/>
    <w:rsid w:val="00670B20"/>
    <w:rsid w:val="006714A8"/>
    <w:rsid w:val="006721E4"/>
    <w:rsid w:val="00675818"/>
    <w:rsid w:val="00675ECA"/>
    <w:rsid w:val="006761FA"/>
    <w:rsid w:val="0067690B"/>
    <w:rsid w:val="006775BC"/>
    <w:rsid w:val="00677C09"/>
    <w:rsid w:val="00685AF5"/>
    <w:rsid w:val="00690912"/>
    <w:rsid w:val="0069095C"/>
    <w:rsid w:val="0069187F"/>
    <w:rsid w:val="0069211C"/>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0075"/>
    <w:rsid w:val="006B1074"/>
    <w:rsid w:val="006B3FA4"/>
    <w:rsid w:val="006B449B"/>
    <w:rsid w:val="006B4767"/>
    <w:rsid w:val="006B4F0E"/>
    <w:rsid w:val="006B650D"/>
    <w:rsid w:val="006B6D67"/>
    <w:rsid w:val="006B6F94"/>
    <w:rsid w:val="006C0103"/>
    <w:rsid w:val="006C0309"/>
    <w:rsid w:val="006C09AF"/>
    <w:rsid w:val="006C1F52"/>
    <w:rsid w:val="006C2081"/>
    <w:rsid w:val="006C29A4"/>
    <w:rsid w:val="006C40F3"/>
    <w:rsid w:val="006C513F"/>
    <w:rsid w:val="006D198D"/>
    <w:rsid w:val="006D24E4"/>
    <w:rsid w:val="006D3D97"/>
    <w:rsid w:val="006D61EF"/>
    <w:rsid w:val="006D6998"/>
    <w:rsid w:val="006E0560"/>
    <w:rsid w:val="006E132E"/>
    <w:rsid w:val="006E1551"/>
    <w:rsid w:val="006E261A"/>
    <w:rsid w:val="006E2B80"/>
    <w:rsid w:val="006E2E46"/>
    <w:rsid w:val="006E35D8"/>
    <w:rsid w:val="006E381D"/>
    <w:rsid w:val="006E3858"/>
    <w:rsid w:val="006E416E"/>
    <w:rsid w:val="006E4CC4"/>
    <w:rsid w:val="006E4FB2"/>
    <w:rsid w:val="006E5087"/>
    <w:rsid w:val="006E6E23"/>
    <w:rsid w:val="006E7800"/>
    <w:rsid w:val="006F07C7"/>
    <w:rsid w:val="006F1079"/>
    <w:rsid w:val="006F1197"/>
    <w:rsid w:val="006F1E0A"/>
    <w:rsid w:val="006F3677"/>
    <w:rsid w:val="006F3F74"/>
    <w:rsid w:val="006F4F30"/>
    <w:rsid w:val="006F52D1"/>
    <w:rsid w:val="006F5354"/>
    <w:rsid w:val="006F5C86"/>
    <w:rsid w:val="006F6838"/>
    <w:rsid w:val="006F77A5"/>
    <w:rsid w:val="00700072"/>
    <w:rsid w:val="0070040C"/>
    <w:rsid w:val="007009B5"/>
    <w:rsid w:val="00701DAF"/>
    <w:rsid w:val="0070254B"/>
    <w:rsid w:val="0070275C"/>
    <w:rsid w:val="0070373D"/>
    <w:rsid w:val="0070509F"/>
    <w:rsid w:val="00714FFD"/>
    <w:rsid w:val="007157D2"/>
    <w:rsid w:val="00715A76"/>
    <w:rsid w:val="00720EBA"/>
    <w:rsid w:val="00721E70"/>
    <w:rsid w:val="00722F1B"/>
    <w:rsid w:val="00726207"/>
    <w:rsid w:val="00727C9F"/>
    <w:rsid w:val="007314DF"/>
    <w:rsid w:val="00732E36"/>
    <w:rsid w:val="007330D0"/>
    <w:rsid w:val="007370EC"/>
    <w:rsid w:val="00742746"/>
    <w:rsid w:val="00742F8A"/>
    <w:rsid w:val="00743A6C"/>
    <w:rsid w:val="00743B37"/>
    <w:rsid w:val="00744480"/>
    <w:rsid w:val="0074485A"/>
    <w:rsid w:val="007453B7"/>
    <w:rsid w:val="00745FE1"/>
    <w:rsid w:val="007468C0"/>
    <w:rsid w:val="00746CAA"/>
    <w:rsid w:val="00747188"/>
    <w:rsid w:val="00747AD8"/>
    <w:rsid w:val="00750F6B"/>
    <w:rsid w:val="00750FB9"/>
    <w:rsid w:val="00752393"/>
    <w:rsid w:val="007525ED"/>
    <w:rsid w:val="0075327D"/>
    <w:rsid w:val="00753312"/>
    <w:rsid w:val="007540E4"/>
    <w:rsid w:val="00754AD0"/>
    <w:rsid w:val="00755139"/>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3BE"/>
    <w:rsid w:val="007834F1"/>
    <w:rsid w:val="00786A12"/>
    <w:rsid w:val="007871F6"/>
    <w:rsid w:val="007914E1"/>
    <w:rsid w:val="00792AF4"/>
    <w:rsid w:val="007952CE"/>
    <w:rsid w:val="00795C4D"/>
    <w:rsid w:val="007962CC"/>
    <w:rsid w:val="007A209D"/>
    <w:rsid w:val="007A2426"/>
    <w:rsid w:val="007A2A06"/>
    <w:rsid w:val="007A2C71"/>
    <w:rsid w:val="007A321E"/>
    <w:rsid w:val="007A4E21"/>
    <w:rsid w:val="007A5711"/>
    <w:rsid w:val="007A7E8B"/>
    <w:rsid w:val="007B07A2"/>
    <w:rsid w:val="007B1606"/>
    <w:rsid w:val="007B195C"/>
    <w:rsid w:val="007B2580"/>
    <w:rsid w:val="007B2E22"/>
    <w:rsid w:val="007B559F"/>
    <w:rsid w:val="007B55B4"/>
    <w:rsid w:val="007C1490"/>
    <w:rsid w:val="007C1638"/>
    <w:rsid w:val="007C1975"/>
    <w:rsid w:val="007C22F3"/>
    <w:rsid w:val="007C3AA1"/>
    <w:rsid w:val="007C40DB"/>
    <w:rsid w:val="007C579C"/>
    <w:rsid w:val="007C597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30F"/>
    <w:rsid w:val="007E2557"/>
    <w:rsid w:val="007E25BB"/>
    <w:rsid w:val="007E27DA"/>
    <w:rsid w:val="007E31E5"/>
    <w:rsid w:val="007E4ED7"/>
    <w:rsid w:val="007E68AB"/>
    <w:rsid w:val="007F0592"/>
    <w:rsid w:val="007F44FF"/>
    <w:rsid w:val="007F5184"/>
    <w:rsid w:val="007F526E"/>
    <w:rsid w:val="007F73D0"/>
    <w:rsid w:val="00800340"/>
    <w:rsid w:val="008004DF"/>
    <w:rsid w:val="008006D8"/>
    <w:rsid w:val="00800F1F"/>
    <w:rsid w:val="00801D72"/>
    <w:rsid w:val="00803F22"/>
    <w:rsid w:val="00804927"/>
    <w:rsid w:val="0080635E"/>
    <w:rsid w:val="00806B8B"/>
    <w:rsid w:val="00814A87"/>
    <w:rsid w:val="00815331"/>
    <w:rsid w:val="008156E2"/>
    <w:rsid w:val="008161ED"/>
    <w:rsid w:val="008171A9"/>
    <w:rsid w:val="00817F9A"/>
    <w:rsid w:val="008211A7"/>
    <w:rsid w:val="008221E0"/>
    <w:rsid w:val="00822E7A"/>
    <w:rsid w:val="00822FED"/>
    <w:rsid w:val="00823395"/>
    <w:rsid w:val="00823A8A"/>
    <w:rsid w:val="00825076"/>
    <w:rsid w:val="00826F3A"/>
    <w:rsid w:val="008270B3"/>
    <w:rsid w:val="00827E73"/>
    <w:rsid w:val="00831C5B"/>
    <w:rsid w:val="0083261E"/>
    <w:rsid w:val="00834D4C"/>
    <w:rsid w:val="00835DAA"/>
    <w:rsid w:val="00835FF7"/>
    <w:rsid w:val="0083674C"/>
    <w:rsid w:val="00837D0F"/>
    <w:rsid w:val="00837E1A"/>
    <w:rsid w:val="00840010"/>
    <w:rsid w:val="00842AEF"/>
    <w:rsid w:val="00846DEB"/>
    <w:rsid w:val="0084750E"/>
    <w:rsid w:val="00850DDF"/>
    <w:rsid w:val="0085553B"/>
    <w:rsid w:val="008560D2"/>
    <w:rsid w:val="0085661F"/>
    <w:rsid w:val="00857AE2"/>
    <w:rsid w:val="00857F8E"/>
    <w:rsid w:val="008608F8"/>
    <w:rsid w:val="00861947"/>
    <w:rsid w:val="00861B1D"/>
    <w:rsid w:val="00861B88"/>
    <w:rsid w:val="00861DD3"/>
    <w:rsid w:val="00861E99"/>
    <w:rsid w:val="00862CB7"/>
    <w:rsid w:val="0086410A"/>
    <w:rsid w:val="008647CF"/>
    <w:rsid w:val="00864F00"/>
    <w:rsid w:val="00865B89"/>
    <w:rsid w:val="008704A8"/>
    <w:rsid w:val="008714F9"/>
    <w:rsid w:val="00871B0B"/>
    <w:rsid w:val="00871E3A"/>
    <w:rsid w:val="0087241A"/>
    <w:rsid w:val="0087316C"/>
    <w:rsid w:val="008739BB"/>
    <w:rsid w:val="00873F48"/>
    <w:rsid w:val="00874B2D"/>
    <w:rsid w:val="00876D2A"/>
    <w:rsid w:val="008826B4"/>
    <w:rsid w:val="0088380C"/>
    <w:rsid w:val="00883906"/>
    <w:rsid w:val="008867BB"/>
    <w:rsid w:val="00890EE5"/>
    <w:rsid w:val="0089656A"/>
    <w:rsid w:val="00896E94"/>
    <w:rsid w:val="00896EBE"/>
    <w:rsid w:val="008A0B28"/>
    <w:rsid w:val="008A0EA4"/>
    <w:rsid w:val="008A1F8F"/>
    <w:rsid w:val="008A5AFA"/>
    <w:rsid w:val="008B0DBA"/>
    <w:rsid w:val="008B2107"/>
    <w:rsid w:val="008B3F7D"/>
    <w:rsid w:val="008B63F9"/>
    <w:rsid w:val="008C03C6"/>
    <w:rsid w:val="008C09DA"/>
    <w:rsid w:val="008C0E52"/>
    <w:rsid w:val="008C1F03"/>
    <w:rsid w:val="008C2A53"/>
    <w:rsid w:val="008C45CA"/>
    <w:rsid w:val="008C4BF2"/>
    <w:rsid w:val="008C5C19"/>
    <w:rsid w:val="008C5CAA"/>
    <w:rsid w:val="008C78BB"/>
    <w:rsid w:val="008C7C50"/>
    <w:rsid w:val="008D0B92"/>
    <w:rsid w:val="008D1C4C"/>
    <w:rsid w:val="008D57C0"/>
    <w:rsid w:val="008E1214"/>
    <w:rsid w:val="008E2101"/>
    <w:rsid w:val="008E3FFD"/>
    <w:rsid w:val="008E66E1"/>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0488"/>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514F"/>
    <w:rsid w:val="00935598"/>
    <w:rsid w:val="00935599"/>
    <w:rsid w:val="00936D5E"/>
    <w:rsid w:val="00936E97"/>
    <w:rsid w:val="0093794D"/>
    <w:rsid w:val="009404ED"/>
    <w:rsid w:val="009461F0"/>
    <w:rsid w:val="009507A1"/>
    <w:rsid w:val="00951E22"/>
    <w:rsid w:val="00953C47"/>
    <w:rsid w:val="0096232B"/>
    <w:rsid w:val="00962695"/>
    <w:rsid w:val="00962F7A"/>
    <w:rsid w:val="009639AA"/>
    <w:rsid w:val="00963A1D"/>
    <w:rsid w:val="00963CF5"/>
    <w:rsid w:val="009641F8"/>
    <w:rsid w:val="0097123D"/>
    <w:rsid w:val="00972A0F"/>
    <w:rsid w:val="00975051"/>
    <w:rsid w:val="009751C6"/>
    <w:rsid w:val="00976574"/>
    <w:rsid w:val="009774E6"/>
    <w:rsid w:val="00977851"/>
    <w:rsid w:val="009805C9"/>
    <w:rsid w:val="00981E24"/>
    <w:rsid w:val="009910B5"/>
    <w:rsid w:val="00993034"/>
    <w:rsid w:val="0099341F"/>
    <w:rsid w:val="00993D67"/>
    <w:rsid w:val="00993E10"/>
    <w:rsid w:val="009A11CA"/>
    <w:rsid w:val="009A2C2A"/>
    <w:rsid w:val="009A2E07"/>
    <w:rsid w:val="009A2E52"/>
    <w:rsid w:val="009A318D"/>
    <w:rsid w:val="009A3B8E"/>
    <w:rsid w:val="009A3E3C"/>
    <w:rsid w:val="009A4428"/>
    <w:rsid w:val="009A46B0"/>
    <w:rsid w:val="009A5DAE"/>
    <w:rsid w:val="009A7EF5"/>
    <w:rsid w:val="009A7FF8"/>
    <w:rsid w:val="009B1566"/>
    <w:rsid w:val="009B444A"/>
    <w:rsid w:val="009B6655"/>
    <w:rsid w:val="009B6D3E"/>
    <w:rsid w:val="009C0C4D"/>
    <w:rsid w:val="009C22B1"/>
    <w:rsid w:val="009C2476"/>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1B82"/>
    <w:rsid w:val="009F2D1C"/>
    <w:rsid w:val="009F3847"/>
    <w:rsid w:val="009F3EFE"/>
    <w:rsid w:val="009F61C6"/>
    <w:rsid w:val="009F68DB"/>
    <w:rsid w:val="009F7E1A"/>
    <w:rsid w:val="00A00110"/>
    <w:rsid w:val="00A04047"/>
    <w:rsid w:val="00A04059"/>
    <w:rsid w:val="00A04530"/>
    <w:rsid w:val="00A054AD"/>
    <w:rsid w:val="00A06008"/>
    <w:rsid w:val="00A069F9"/>
    <w:rsid w:val="00A06EED"/>
    <w:rsid w:val="00A07531"/>
    <w:rsid w:val="00A10393"/>
    <w:rsid w:val="00A10F8F"/>
    <w:rsid w:val="00A12A3F"/>
    <w:rsid w:val="00A1304C"/>
    <w:rsid w:val="00A13248"/>
    <w:rsid w:val="00A1458A"/>
    <w:rsid w:val="00A14E9F"/>
    <w:rsid w:val="00A16087"/>
    <w:rsid w:val="00A167E6"/>
    <w:rsid w:val="00A171AA"/>
    <w:rsid w:val="00A17BF6"/>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5B80"/>
    <w:rsid w:val="00A66474"/>
    <w:rsid w:val="00A70101"/>
    <w:rsid w:val="00A70622"/>
    <w:rsid w:val="00A70C18"/>
    <w:rsid w:val="00A71B89"/>
    <w:rsid w:val="00A72E47"/>
    <w:rsid w:val="00A75D8C"/>
    <w:rsid w:val="00A7746C"/>
    <w:rsid w:val="00A81840"/>
    <w:rsid w:val="00A82387"/>
    <w:rsid w:val="00A83FD3"/>
    <w:rsid w:val="00A8403A"/>
    <w:rsid w:val="00A85096"/>
    <w:rsid w:val="00A862B1"/>
    <w:rsid w:val="00A8667B"/>
    <w:rsid w:val="00A870F2"/>
    <w:rsid w:val="00A901F5"/>
    <w:rsid w:val="00A91568"/>
    <w:rsid w:val="00A940AC"/>
    <w:rsid w:val="00A940F4"/>
    <w:rsid w:val="00A952B3"/>
    <w:rsid w:val="00A963D0"/>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504"/>
    <w:rsid w:val="00AD4A10"/>
    <w:rsid w:val="00AE4586"/>
    <w:rsid w:val="00AE4C7E"/>
    <w:rsid w:val="00AE5DF3"/>
    <w:rsid w:val="00AE6066"/>
    <w:rsid w:val="00AE7057"/>
    <w:rsid w:val="00AF1789"/>
    <w:rsid w:val="00AF1872"/>
    <w:rsid w:val="00AF2F96"/>
    <w:rsid w:val="00AF3467"/>
    <w:rsid w:val="00AF6293"/>
    <w:rsid w:val="00AF7438"/>
    <w:rsid w:val="00AF7DED"/>
    <w:rsid w:val="00B00EE5"/>
    <w:rsid w:val="00B01682"/>
    <w:rsid w:val="00B02FA9"/>
    <w:rsid w:val="00B050D7"/>
    <w:rsid w:val="00B05CB3"/>
    <w:rsid w:val="00B10264"/>
    <w:rsid w:val="00B10662"/>
    <w:rsid w:val="00B10763"/>
    <w:rsid w:val="00B1112D"/>
    <w:rsid w:val="00B1117C"/>
    <w:rsid w:val="00B111BD"/>
    <w:rsid w:val="00B1137F"/>
    <w:rsid w:val="00B13059"/>
    <w:rsid w:val="00B13223"/>
    <w:rsid w:val="00B1394D"/>
    <w:rsid w:val="00B149BA"/>
    <w:rsid w:val="00B15B86"/>
    <w:rsid w:val="00B16BEF"/>
    <w:rsid w:val="00B2000E"/>
    <w:rsid w:val="00B202EF"/>
    <w:rsid w:val="00B20B6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228A"/>
    <w:rsid w:val="00B45BAD"/>
    <w:rsid w:val="00B4783A"/>
    <w:rsid w:val="00B50AEC"/>
    <w:rsid w:val="00B5355A"/>
    <w:rsid w:val="00B55861"/>
    <w:rsid w:val="00B56153"/>
    <w:rsid w:val="00B60C3C"/>
    <w:rsid w:val="00B6259C"/>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B08A8"/>
    <w:rsid w:val="00BB3BEB"/>
    <w:rsid w:val="00BB43A3"/>
    <w:rsid w:val="00BB577E"/>
    <w:rsid w:val="00BB5951"/>
    <w:rsid w:val="00BB68BD"/>
    <w:rsid w:val="00BC35FA"/>
    <w:rsid w:val="00BC379E"/>
    <w:rsid w:val="00BC45B6"/>
    <w:rsid w:val="00BD016B"/>
    <w:rsid w:val="00BD09D4"/>
    <w:rsid w:val="00BD0F63"/>
    <w:rsid w:val="00BD2DD4"/>
    <w:rsid w:val="00BD2EEC"/>
    <w:rsid w:val="00BD4A23"/>
    <w:rsid w:val="00BD5065"/>
    <w:rsid w:val="00BD7633"/>
    <w:rsid w:val="00BE390F"/>
    <w:rsid w:val="00BE66D0"/>
    <w:rsid w:val="00BF0711"/>
    <w:rsid w:val="00BF1B55"/>
    <w:rsid w:val="00BF23F8"/>
    <w:rsid w:val="00BF32F6"/>
    <w:rsid w:val="00BF53FC"/>
    <w:rsid w:val="00BF5A6D"/>
    <w:rsid w:val="00BF5B58"/>
    <w:rsid w:val="00BF6536"/>
    <w:rsid w:val="00C007AF"/>
    <w:rsid w:val="00C009A9"/>
    <w:rsid w:val="00C02733"/>
    <w:rsid w:val="00C04E32"/>
    <w:rsid w:val="00C05103"/>
    <w:rsid w:val="00C0539D"/>
    <w:rsid w:val="00C06690"/>
    <w:rsid w:val="00C07BF1"/>
    <w:rsid w:val="00C11ECA"/>
    <w:rsid w:val="00C1298F"/>
    <w:rsid w:val="00C12D15"/>
    <w:rsid w:val="00C17AB8"/>
    <w:rsid w:val="00C17BC4"/>
    <w:rsid w:val="00C218BC"/>
    <w:rsid w:val="00C24CE4"/>
    <w:rsid w:val="00C26AF3"/>
    <w:rsid w:val="00C26BA9"/>
    <w:rsid w:val="00C31B55"/>
    <w:rsid w:val="00C320EA"/>
    <w:rsid w:val="00C32C53"/>
    <w:rsid w:val="00C33105"/>
    <w:rsid w:val="00C33AD2"/>
    <w:rsid w:val="00C346A1"/>
    <w:rsid w:val="00C3536D"/>
    <w:rsid w:val="00C356E0"/>
    <w:rsid w:val="00C3674B"/>
    <w:rsid w:val="00C401B0"/>
    <w:rsid w:val="00C403C3"/>
    <w:rsid w:val="00C4054E"/>
    <w:rsid w:val="00C4072A"/>
    <w:rsid w:val="00C41535"/>
    <w:rsid w:val="00C421B4"/>
    <w:rsid w:val="00C43966"/>
    <w:rsid w:val="00C45D5D"/>
    <w:rsid w:val="00C47A7E"/>
    <w:rsid w:val="00C505D4"/>
    <w:rsid w:val="00C50965"/>
    <w:rsid w:val="00C50CD2"/>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37C6"/>
    <w:rsid w:val="00CB3922"/>
    <w:rsid w:val="00CB5B4C"/>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E25E6"/>
    <w:rsid w:val="00CE5C79"/>
    <w:rsid w:val="00CE67D2"/>
    <w:rsid w:val="00CF111F"/>
    <w:rsid w:val="00CF172C"/>
    <w:rsid w:val="00CF6BBF"/>
    <w:rsid w:val="00CF7556"/>
    <w:rsid w:val="00D01D7A"/>
    <w:rsid w:val="00D02B5B"/>
    <w:rsid w:val="00D03044"/>
    <w:rsid w:val="00D03A56"/>
    <w:rsid w:val="00D03D23"/>
    <w:rsid w:val="00D04012"/>
    <w:rsid w:val="00D05BDC"/>
    <w:rsid w:val="00D10558"/>
    <w:rsid w:val="00D10FEE"/>
    <w:rsid w:val="00D11A5C"/>
    <w:rsid w:val="00D122BE"/>
    <w:rsid w:val="00D1263D"/>
    <w:rsid w:val="00D12AB1"/>
    <w:rsid w:val="00D13507"/>
    <w:rsid w:val="00D13C51"/>
    <w:rsid w:val="00D14304"/>
    <w:rsid w:val="00D15135"/>
    <w:rsid w:val="00D15D01"/>
    <w:rsid w:val="00D15DB3"/>
    <w:rsid w:val="00D16693"/>
    <w:rsid w:val="00D17564"/>
    <w:rsid w:val="00D2106B"/>
    <w:rsid w:val="00D228BB"/>
    <w:rsid w:val="00D22D47"/>
    <w:rsid w:val="00D23C6A"/>
    <w:rsid w:val="00D24D9B"/>
    <w:rsid w:val="00D324CA"/>
    <w:rsid w:val="00D328BD"/>
    <w:rsid w:val="00D3343E"/>
    <w:rsid w:val="00D34F27"/>
    <w:rsid w:val="00D3717C"/>
    <w:rsid w:val="00D37368"/>
    <w:rsid w:val="00D40543"/>
    <w:rsid w:val="00D407AE"/>
    <w:rsid w:val="00D45336"/>
    <w:rsid w:val="00D45A2E"/>
    <w:rsid w:val="00D46C3D"/>
    <w:rsid w:val="00D4727F"/>
    <w:rsid w:val="00D5087C"/>
    <w:rsid w:val="00D50EE3"/>
    <w:rsid w:val="00D5108C"/>
    <w:rsid w:val="00D51D4A"/>
    <w:rsid w:val="00D525F9"/>
    <w:rsid w:val="00D52EEA"/>
    <w:rsid w:val="00D541FC"/>
    <w:rsid w:val="00D56944"/>
    <w:rsid w:val="00D577EA"/>
    <w:rsid w:val="00D60B7C"/>
    <w:rsid w:val="00D6170C"/>
    <w:rsid w:val="00D631CA"/>
    <w:rsid w:val="00D64A09"/>
    <w:rsid w:val="00D65AFB"/>
    <w:rsid w:val="00D6721A"/>
    <w:rsid w:val="00D67997"/>
    <w:rsid w:val="00D7043D"/>
    <w:rsid w:val="00D71075"/>
    <w:rsid w:val="00D7115B"/>
    <w:rsid w:val="00D72B83"/>
    <w:rsid w:val="00D735EF"/>
    <w:rsid w:val="00D73A9C"/>
    <w:rsid w:val="00D7416A"/>
    <w:rsid w:val="00D75064"/>
    <w:rsid w:val="00D7537C"/>
    <w:rsid w:val="00D80240"/>
    <w:rsid w:val="00D83466"/>
    <w:rsid w:val="00D87028"/>
    <w:rsid w:val="00D871F8"/>
    <w:rsid w:val="00D90126"/>
    <w:rsid w:val="00D91C95"/>
    <w:rsid w:val="00D92397"/>
    <w:rsid w:val="00D93A3D"/>
    <w:rsid w:val="00D9414D"/>
    <w:rsid w:val="00D94F86"/>
    <w:rsid w:val="00D9724B"/>
    <w:rsid w:val="00D97744"/>
    <w:rsid w:val="00DA0919"/>
    <w:rsid w:val="00DA141C"/>
    <w:rsid w:val="00DA142B"/>
    <w:rsid w:val="00DA34EB"/>
    <w:rsid w:val="00DA4201"/>
    <w:rsid w:val="00DA5727"/>
    <w:rsid w:val="00DA5DA1"/>
    <w:rsid w:val="00DA5FFD"/>
    <w:rsid w:val="00DA701D"/>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C07"/>
    <w:rsid w:val="00DD0D0E"/>
    <w:rsid w:val="00DD16FF"/>
    <w:rsid w:val="00DD2054"/>
    <w:rsid w:val="00DD2323"/>
    <w:rsid w:val="00DD29F8"/>
    <w:rsid w:val="00DD7384"/>
    <w:rsid w:val="00DE0373"/>
    <w:rsid w:val="00DE038C"/>
    <w:rsid w:val="00DE127A"/>
    <w:rsid w:val="00DE3677"/>
    <w:rsid w:val="00DE3FFD"/>
    <w:rsid w:val="00DE4762"/>
    <w:rsid w:val="00DE519B"/>
    <w:rsid w:val="00DE51A6"/>
    <w:rsid w:val="00DE5EB9"/>
    <w:rsid w:val="00DE62BB"/>
    <w:rsid w:val="00DE6B98"/>
    <w:rsid w:val="00DE70A9"/>
    <w:rsid w:val="00DF0D3B"/>
    <w:rsid w:val="00DF20DA"/>
    <w:rsid w:val="00DF3ED8"/>
    <w:rsid w:val="00DF4009"/>
    <w:rsid w:val="00DF4625"/>
    <w:rsid w:val="00DF5765"/>
    <w:rsid w:val="00DF6ED3"/>
    <w:rsid w:val="00DF6FC5"/>
    <w:rsid w:val="00E00153"/>
    <w:rsid w:val="00E00A38"/>
    <w:rsid w:val="00E00CD8"/>
    <w:rsid w:val="00E01B63"/>
    <w:rsid w:val="00E02E1E"/>
    <w:rsid w:val="00E039FF"/>
    <w:rsid w:val="00E03EEF"/>
    <w:rsid w:val="00E053AF"/>
    <w:rsid w:val="00E06DCF"/>
    <w:rsid w:val="00E06DE7"/>
    <w:rsid w:val="00E179C5"/>
    <w:rsid w:val="00E20526"/>
    <w:rsid w:val="00E20C5C"/>
    <w:rsid w:val="00E23A9C"/>
    <w:rsid w:val="00E24656"/>
    <w:rsid w:val="00E247FB"/>
    <w:rsid w:val="00E258EA"/>
    <w:rsid w:val="00E269CA"/>
    <w:rsid w:val="00E31CC4"/>
    <w:rsid w:val="00E323F2"/>
    <w:rsid w:val="00E326F2"/>
    <w:rsid w:val="00E3272B"/>
    <w:rsid w:val="00E32CCE"/>
    <w:rsid w:val="00E34395"/>
    <w:rsid w:val="00E403C9"/>
    <w:rsid w:val="00E4054B"/>
    <w:rsid w:val="00E43E69"/>
    <w:rsid w:val="00E44C22"/>
    <w:rsid w:val="00E4712D"/>
    <w:rsid w:val="00E47DD9"/>
    <w:rsid w:val="00E52C69"/>
    <w:rsid w:val="00E53665"/>
    <w:rsid w:val="00E54A8D"/>
    <w:rsid w:val="00E55953"/>
    <w:rsid w:val="00E56CAD"/>
    <w:rsid w:val="00E60705"/>
    <w:rsid w:val="00E608A9"/>
    <w:rsid w:val="00E60942"/>
    <w:rsid w:val="00E60A99"/>
    <w:rsid w:val="00E6206B"/>
    <w:rsid w:val="00E62370"/>
    <w:rsid w:val="00E659FA"/>
    <w:rsid w:val="00E66E9B"/>
    <w:rsid w:val="00E670D6"/>
    <w:rsid w:val="00E6769D"/>
    <w:rsid w:val="00E70968"/>
    <w:rsid w:val="00E73AC4"/>
    <w:rsid w:val="00E740E0"/>
    <w:rsid w:val="00E75469"/>
    <w:rsid w:val="00E75C04"/>
    <w:rsid w:val="00E767D6"/>
    <w:rsid w:val="00E809A5"/>
    <w:rsid w:val="00E81410"/>
    <w:rsid w:val="00E81978"/>
    <w:rsid w:val="00E81A03"/>
    <w:rsid w:val="00E82700"/>
    <w:rsid w:val="00E830B8"/>
    <w:rsid w:val="00E83612"/>
    <w:rsid w:val="00E83DBE"/>
    <w:rsid w:val="00E84D91"/>
    <w:rsid w:val="00E84FEC"/>
    <w:rsid w:val="00E85E42"/>
    <w:rsid w:val="00E86F4D"/>
    <w:rsid w:val="00E86FD2"/>
    <w:rsid w:val="00E91F14"/>
    <w:rsid w:val="00E94B9E"/>
    <w:rsid w:val="00E95C00"/>
    <w:rsid w:val="00E95CF3"/>
    <w:rsid w:val="00E96519"/>
    <w:rsid w:val="00E96F05"/>
    <w:rsid w:val="00EA0AAF"/>
    <w:rsid w:val="00EA2938"/>
    <w:rsid w:val="00EA2BC1"/>
    <w:rsid w:val="00EA44B1"/>
    <w:rsid w:val="00EA7406"/>
    <w:rsid w:val="00EB0096"/>
    <w:rsid w:val="00EB04AA"/>
    <w:rsid w:val="00EB17B1"/>
    <w:rsid w:val="00EB20FA"/>
    <w:rsid w:val="00EB2BEA"/>
    <w:rsid w:val="00EB2C61"/>
    <w:rsid w:val="00EB5159"/>
    <w:rsid w:val="00EB58BE"/>
    <w:rsid w:val="00EB74AD"/>
    <w:rsid w:val="00EC2282"/>
    <w:rsid w:val="00EC39A7"/>
    <w:rsid w:val="00EC4467"/>
    <w:rsid w:val="00EC63E6"/>
    <w:rsid w:val="00EC6BF7"/>
    <w:rsid w:val="00EC7BCA"/>
    <w:rsid w:val="00ED04AD"/>
    <w:rsid w:val="00ED07F4"/>
    <w:rsid w:val="00ED3F80"/>
    <w:rsid w:val="00ED4DA6"/>
    <w:rsid w:val="00ED4ED4"/>
    <w:rsid w:val="00ED5DAE"/>
    <w:rsid w:val="00ED659F"/>
    <w:rsid w:val="00ED7FB4"/>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997"/>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4034"/>
    <w:rsid w:val="00F649FF"/>
    <w:rsid w:val="00F64EBE"/>
    <w:rsid w:val="00F65626"/>
    <w:rsid w:val="00F67F37"/>
    <w:rsid w:val="00F7020D"/>
    <w:rsid w:val="00F72BF8"/>
    <w:rsid w:val="00F72C69"/>
    <w:rsid w:val="00F752A1"/>
    <w:rsid w:val="00F75872"/>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7490"/>
    <w:rsid w:val="00FD021C"/>
    <w:rsid w:val="00FD1957"/>
    <w:rsid w:val="00FD206E"/>
    <w:rsid w:val="00FD2631"/>
    <w:rsid w:val="00FD2A8F"/>
    <w:rsid w:val="00FD5564"/>
    <w:rsid w:val="00FE02CD"/>
    <w:rsid w:val="00FE2886"/>
    <w:rsid w:val="00FE29F2"/>
    <w:rsid w:val="00FE3379"/>
    <w:rsid w:val="00FE44FE"/>
    <w:rsid w:val="00FF03EC"/>
    <w:rsid w:val="00FF333C"/>
    <w:rsid w:val="00FF34B1"/>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uiPriority w:val="99"/>
    <w:semiHidden/>
    <w:rsid w:val="001558FD"/>
    <w:rPr>
      <w:sz w:val="16"/>
    </w:rPr>
  </w:style>
  <w:style w:type="paragraph" w:styleId="Textkomente">
    <w:name w:val="annotation text"/>
    <w:basedOn w:val="Normln"/>
    <w:link w:val="TextkomenteChar"/>
    <w:uiPriority w:val="99"/>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uiPriority w:val="99"/>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A508.D57CFD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473</TotalTime>
  <Pages>34</Pages>
  <Words>10633</Words>
  <Characters>62130</Characters>
  <Application>Microsoft Office Word</Application>
  <DocSecurity>0</DocSecurity>
  <Lines>517</Lines>
  <Paragraphs>145</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72618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Kabele, Roman</cp:lastModifiedBy>
  <cp:revision>141</cp:revision>
  <cp:lastPrinted>2019-01-30T20:29:00Z</cp:lastPrinted>
  <dcterms:created xsi:type="dcterms:W3CDTF">2024-09-09T07:59:00Z</dcterms:created>
  <dcterms:modified xsi:type="dcterms:W3CDTF">2025-03-07T09:17:00Z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