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E92" w:rsidRDefault="009B6308" w:rsidP="009B6308">
      <w:pPr>
        <w:spacing w:after="0" w:line="265" w:lineRule="auto"/>
        <w:ind w:left="483" w:firstLine="708"/>
      </w:pPr>
      <w:r>
        <w:rPr>
          <w:b/>
        </w:rPr>
        <w:t xml:space="preserve">                                       </w:t>
      </w:r>
      <w:r w:rsidR="00AE41AE">
        <w:rPr>
          <w:b/>
        </w:rPr>
        <w:t xml:space="preserve">Všeobecné nákupní podmínky společnosti E.ON Czech </w:t>
      </w:r>
      <w:r>
        <w:rPr>
          <w:b/>
        </w:rPr>
        <w:t>– Verze: leden 2020</w:t>
      </w:r>
    </w:p>
    <w:p w:rsidR="009B6308" w:rsidRPr="00E8223C" w:rsidRDefault="00AE41AE" w:rsidP="009B6308">
      <w:pPr>
        <w:pStyle w:val="Zhlav"/>
        <w:jc w:val="right"/>
        <w:rPr>
          <w:b/>
          <w:sz w:val="18"/>
          <w:szCs w:val="18"/>
        </w:rPr>
      </w:pPr>
      <w:r>
        <w:rPr>
          <w:rFonts w:ascii="Times New Roman" w:hAnsi="Times New Roman" w:cs="Times New Roman"/>
          <w:sz w:val="24"/>
        </w:rPr>
        <w:t xml:space="preserve"> </w:t>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sidRPr="00E8223C">
        <w:rPr>
          <w:b/>
          <w:sz w:val="18"/>
          <w:szCs w:val="18"/>
        </w:rPr>
        <w:t xml:space="preserve">Číslo smlouvy kupujícího: </w:t>
      </w:r>
      <w:r w:rsidR="009B6308" w:rsidRPr="00E8223C">
        <w:rPr>
          <w:b/>
          <w:sz w:val="18"/>
          <w:szCs w:val="18"/>
          <w:highlight w:val="green"/>
        </w:rPr>
        <w:t>doplní zadavatel</w:t>
      </w:r>
    </w:p>
    <w:p w:rsidR="009B6308" w:rsidRPr="00E8223C" w:rsidRDefault="009B6308" w:rsidP="009B6308">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doplní dodavatel</w:t>
      </w:r>
    </w:p>
    <w:p w:rsidR="00697E92" w:rsidRDefault="00697E92">
      <w:pPr>
        <w:spacing w:after="0" w:line="259" w:lineRule="auto"/>
        <w:ind w:left="5" w:firstLine="0"/>
        <w:jc w:val="left"/>
      </w:pPr>
    </w:p>
    <w:p w:rsidR="00697E92" w:rsidRDefault="00AE41AE">
      <w:pPr>
        <w:spacing w:after="7" w:line="216" w:lineRule="auto"/>
        <w:ind w:left="5" w:right="9837" w:firstLine="0"/>
        <w:jc w:val="left"/>
      </w:pPr>
      <w:r>
        <w:rPr>
          <w:rFonts w:ascii="Times New Roman" w:eastAsia="Times New Roman" w:hAnsi="Times New Roman" w:cs="Times New Roman"/>
          <w:sz w:val="24"/>
        </w:rPr>
        <w:t xml:space="preserve">  </w:t>
      </w:r>
    </w:p>
    <w:p w:rsidR="00D051DE" w:rsidRDefault="00AE41AE" w:rsidP="00D051DE">
      <w:pPr>
        <w:ind w:left="1134" w:right="283" w:hanging="1"/>
        <w:jc w:val="center"/>
        <w:rPr>
          <w:b/>
          <w:color w:val="auto"/>
          <w:u w:val="single"/>
        </w:rPr>
      </w:pPr>
      <w:r>
        <w:rPr>
          <w:rFonts w:ascii="Times New Roman" w:eastAsia="Times New Roman" w:hAnsi="Times New Roman" w:cs="Times New Roman"/>
          <w:sz w:val="24"/>
        </w:rPr>
        <w:t xml:space="preserve"> </w:t>
      </w:r>
      <w:r w:rsidR="00D051DE" w:rsidRPr="006F1866">
        <w:rPr>
          <w:b/>
          <w:color w:val="auto"/>
          <w:u w:val="single"/>
        </w:rPr>
        <w:t xml:space="preserve">Příloha </w:t>
      </w:r>
      <w:r w:rsidR="00D051DE">
        <w:rPr>
          <w:b/>
          <w:color w:val="auto"/>
          <w:u w:val="single"/>
        </w:rPr>
        <w:t>2</w:t>
      </w:r>
    </w:p>
    <w:p w:rsidR="00D051DE" w:rsidRPr="006F1866" w:rsidRDefault="00D051DE" w:rsidP="00D051DE">
      <w:pPr>
        <w:ind w:left="1134" w:right="283" w:hanging="1"/>
        <w:jc w:val="center"/>
        <w:rPr>
          <w:b/>
          <w:color w:val="auto"/>
          <w:u w:val="single"/>
        </w:rPr>
      </w:pPr>
      <w:bookmarkStart w:id="0" w:name="_GoBack"/>
      <w:bookmarkEnd w:id="0"/>
    </w:p>
    <w:p w:rsidR="009B6308" w:rsidRPr="006F1866" w:rsidRDefault="009B6308" w:rsidP="009B6308">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r>
        <w:rPr>
          <w:b/>
          <w:color w:val="auto"/>
        </w:rPr>
        <w:t xml:space="preserve"> </w:t>
      </w:r>
    </w:p>
    <w:p w:rsidR="00697E92" w:rsidRDefault="00697E92">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pPr>
    </w:p>
    <w:p w:rsidR="00697E92" w:rsidRDefault="00AE41AE">
      <w:pPr>
        <w:pStyle w:val="Nadpis1"/>
        <w:spacing w:after="101"/>
        <w:ind w:left="15"/>
      </w:pPr>
      <w:r>
        <w:t>1.</w:t>
      </w:r>
      <w:r>
        <w:rPr>
          <w:rFonts w:ascii="Arial" w:eastAsia="Arial" w:hAnsi="Arial" w:cs="Arial"/>
        </w:rPr>
        <w:t xml:space="preserve"> </w:t>
      </w:r>
      <w:r>
        <w:t xml:space="preserve">Oblast působnosti, Smluvní strany a předmět smlouvy, Pořadí priorit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2" w:right="11" w:hanging="435"/>
      </w:pPr>
      <w:r>
        <w:t>1.1</w:t>
      </w:r>
      <w:r>
        <w:rPr>
          <w:rFonts w:ascii="Times New Roman" w:eastAsia="Times New Roman" w:hAnsi="Times New Roman" w:cs="Times New Roman"/>
          <w:sz w:val="20"/>
        </w:rPr>
        <w:t xml:space="preserve"> </w:t>
      </w:r>
      <w:r>
        <w:t xml:space="preserve">Tyto všeobecné nákupní podmínky (dále též </w:t>
      </w:r>
      <w:r>
        <w:rPr>
          <w:b/>
        </w:rPr>
        <w:t>„VNP“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Odběratel či společnost E.ON“</w:t>
      </w:r>
      <w:r>
        <w:t>) na straně jedné</w:t>
      </w:r>
      <w:r>
        <w:rPr>
          <w:b/>
        </w:rPr>
        <w:t xml:space="preserve"> </w:t>
      </w:r>
      <w:r>
        <w:t>a zhotovitelem,</w:t>
      </w:r>
      <w:r>
        <w:rPr>
          <w:b/>
        </w:rPr>
        <w:t xml:space="preserve"> </w:t>
      </w:r>
      <w:r>
        <w:t>poskytovatelem či dodavatelem nebo</w:t>
      </w:r>
      <w:r>
        <w:rPr>
          <w:b/>
        </w:rPr>
        <w:t xml:space="preserve"> </w:t>
      </w:r>
      <w:r>
        <w:t xml:space="preserve">prodávajícím (dále jen </w:t>
      </w:r>
      <w:r>
        <w:rPr>
          <w:b/>
        </w:rPr>
        <w:t>„Poskytovatel</w:t>
      </w:r>
      <w:r>
        <w:t xml:space="preserve"> </w:t>
      </w:r>
      <w:r>
        <w:rPr>
          <w:b/>
        </w:rPr>
        <w:t>či</w:t>
      </w:r>
      <w:r>
        <w:t xml:space="preserve"> </w:t>
      </w:r>
      <w:r>
        <w:rPr>
          <w:b/>
        </w:rPr>
        <w:t>Dodavatel“</w:t>
      </w:r>
      <w:r>
        <w:t>) na straně druhé vznikající mezi těmito subjekty při a v souvislosti s uzavřením kupní smlouvy, smlouvy o dílo, smlouvy o poskytování služeb či smluv těmto smlouvám obdobným (dále jen „</w:t>
      </w:r>
      <w:r>
        <w:rPr>
          <w:b/>
        </w:rPr>
        <w:t>Smlouva“</w:t>
      </w:r>
      <w:r>
        <w:t>). Tyto VNP se vztahují na všechny nákupy/objednávky mezi společností ve skupině E.ON Czech, která je Objednatelem těchto nákupů/zadavatelem těchto objednávek a Dodavatelem.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6" w:right="11" w:hanging="439"/>
      </w:pPr>
      <w:r>
        <w:t>1.2.</w:t>
      </w:r>
      <w:r>
        <w:rPr>
          <w:rFonts w:ascii="Times New Roman" w:eastAsia="Times New Roman" w:hAnsi="Times New Roman" w:cs="Times New Roman"/>
          <w:sz w:val="20"/>
        </w:rPr>
        <w:t xml:space="preserve"> </w:t>
      </w:r>
      <w:r>
        <w:t>Název „</w:t>
      </w:r>
      <w:r>
        <w:rPr>
          <w:b/>
        </w:rPr>
        <w:t>E.ON</w:t>
      </w:r>
      <w:r>
        <w:t xml:space="preserve">“ ve smyslu těchto VNP označuje společnost E.ON Distribuce, a.s., se sídlem na adrese F. A. </w:t>
      </w:r>
      <w:proofErr w:type="spellStart"/>
      <w:r>
        <w:t>Gerstnera</w:t>
      </w:r>
      <w:proofErr w:type="spellEnd"/>
      <w:r>
        <w:t xml:space="preserve"> 2151/6, České Budějovice 7, 370 01 České Budějovice a všechny společnosti, které jsou přímo nebo nepřímo se společností E.ON propojeny (tato skupina společností dále jen „</w:t>
      </w:r>
      <w:r>
        <w:rPr>
          <w:b/>
        </w:rPr>
        <w:t>skupina E. ON</w:t>
      </w:r>
      <w: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r>
        <w:rPr>
          <w:rFonts w:ascii="Times New Roman" w:eastAsia="Times New Roman" w:hAnsi="Times New Roman" w:cs="Times New Roman"/>
          <w:sz w:val="20"/>
        </w:rPr>
        <w:t xml:space="preserve"> </w:t>
      </w:r>
    </w:p>
    <w:p w:rsidR="00697E92" w:rsidRDefault="00AE41AE">
      <w:pPr>
        <w:spacing w:after="172" w:line="259" w:lineRule="auto"/>
        <w:ind w:left="5" w:firstLine="0"/>
        <w:jc w:val="left"/>
      </w:pPr>
      <w:r>
        <w:rPr>
          <w:rFonts w:ascii="Times New Roman" w:eastAsia="Times New Roman" w:hAnsi="Times New Roman" w:cs="Times New Roman"/>
          <w:sz w:val="24"/>
        </w:rPr>
        <w:t xml:space="preserve"> </w:t>
      </w:r>
    </w:p>
    <w:p w:rsidR="00697E92" w:rsidRDefault="00AE41AE">
      <w:pPr>
        <w:spacing w:after="283"/>
        <w:ind w:left="806" w:right="11" w:hanging="439"/>
      </w:pPr>
      <w:r>
        <w:t xml:space="preserve">1.3.   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697E92" w:rsidRDefault="00AE41AE">
      <w:pPr>
        <w:spacing w:after="274"/>
        <w:ind w:left="806" w:right="11" w:hanging="439"/>
      </w:pPr>
      <w:r>
        <w:t xml:space="preserve">        1.3.1. ustanovení Smlouvy nebo příslušné objednávky včetně event. dohodnutých příloh ohledně ochrany dat a požadavků na informační bezpečnost, technických a organizačních opatření pro ochranu dat;  </w:t>
      </w:r>
    </w:p>
    <w:p w:rsidR="00697E92" w:rsidRDefault="00AE41AE">
      <w:pPr>
        <w:spacing w:after="185"/>
        <w:ind w:left="10" w:right="11"/>
      </w:pPr>
      <w:r>
        <w:t xml:space="preserve">                 1.3.2. další podmínky smlouvy, stanovené ve smlouvě nebo objednávce, </w:t>
      </w:r>
    </w:p>
    <w:p w:rsidR="00697E92" w:rsidRDefault="00AE41AE">
      <w:pPr>
        <w:spacing w:line="348" w:lineRule="auto"/>
        <w:ind w:left="10" w:right="6806"/>
      </w:pPr>
      <w:r>
        <w:t xml:space="preserve">                 1.3.3. tyto Všeobecné podmínky </w:t>
      </w:r>
      <w:r>
        <w:rPr>
          <w:rFonts w:ascii="Times New Roman" w:eastAsia="Times New Roman" w:hAnsi="Times New Roman" w:cs="Times New Roman"/>
          <w:sz w:val="24"/>
        </w:rPr>
        <w:t xml:space="preserve"> </w:t>
      </w:r>
    </w:p>
    <w:p w:rsidR="00697E92" w:rsidRDefault="00AE41AE">
      <w:pPr>
        <w:ind w:left="804" w:right="11" w:hanging="437"/>
      </w:pPr>
      <w:r>
        <w:t>1.4. 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50"/>
        <w:ind w:left="5" w:right="11" w:firstLine="377"/>
      </w:pPr>
      <w:r>
        <w:t xml:space="preserve">1.5. Tyto VNP, stejně jako jiné obchodní podmínky odběratele, na které se smlouva ve smyslu § 1751 zák. č. 89/2012 Sb. odkazuje </w:t>
      </w:r>
      <w:r>
        <w:rPr>
          <w:rFonts w:ascii="Times New Roman" w:eastAsia="Times New Roman" w:hAnsi="Times New Roman" w:cs="Times New Roman"/>
          <w:sz w:val="24"/>
        </w:rPr>
        <w:t xml:space="preserve"> </w:t>
      </w:r>
      <w:r>
        <w:t>(společně dále jen „obchodní podmínky“), Objednatel zveřejňuje na internetové adrese:</w:t>
      </w:r>
      <w:r>
        <w:rPr>
          <w:rFonts w:ascii="Times New Roman" w:eastAsia="Times New Roman" w:hAnsi="Times New Roman" w:cs="Times New Roman"/>
          <w:sz w:val="20"/>
        </w:rPr>
        <w:t xml:space="preserve"> </w:t>
      </w:r>
    </w:p>
    <w:p w:rsidR="00697E92" w:rsidRDefault="00AE41AE">
      <w:pPr>
        <w:spacing w:after="0" w:line="259" w:lineRule="auto"/>
        <w:ind w:left="818" w:firstLine="0"/>
        <w:jc w:val="left"/>
      </w:pPr>
      <w:r>
        <w:rPr>
          <w:u w:val="single" w:color="000000"/>
        </w:rPr>
        <w:t>http://www.eon.cz/o-nas/o-skupine-eon/pro-partnery/vseobecne-nakupni-podminky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11" w:right="11"/>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22"/>
        <w:ind w:left="806" w:right="11" w:hanging="439"/>
      </w:pPr>
      <w:r>
        <w:t>1.6. Tyto VNP se vztahují pouze na podnikatele ve smyslu § 420 zákona č. 89/2012 Sb., občanský zákoník, ve znění pozdějších předpisů (dále jen „občanský zákoník“) nebo právnické osoby podle veřejného práva.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pStyle w:val="Nadpis1"/>
        <w:tabs>
          <w:tab w:val="center" w:pos="1834"/>
        </w:tabs>
        <w:ind w:left="0" w:firstLine="0"/>
      </w:pPr>
      <w:r>
        <w:lastRenderedPageBreak/>
        <w:t>2.</w:t>
      </w:r>
      <w:r>
        <w:rPr>
          <w:rFonts w:ascii="Arial" w:eastAsia="Arial" w:hAnsi="Arial" w:cs="Arial"/>
        </w:rPr>
        <w:t xml:space="preserve"> </w:t>
      </w:r>
      <w:r>
        <w:rPr>
          <w:rFonts w:ascii="Arial" w:eastAsia="Arial" w:hAnsi="Arial" w:cs="Arial"/>
        </w:rPr>
        <w:tab/>
      </w:r>
      <w:r>
        <w:t xml:space="preserve">Objednávky a změny Smlouvy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372" w:right="11"/>
      </w:pPr>
      <w:r>
        <w:t>2.1.</w:t>
      </w:r>
      <w:r>
        <w:rPr>
          <w:rFonts w:ascii="Times New Roman" w:eastAsia="Times New Roman" w:hAnsi="Times New Roman" w:cs="Times New Roman"/>
          <w:sz w:val="20"/>
        </w:rPr>
        <w:t xml:space="preserve"> </w:t>
      </w:r>
      <w:r>
        <w:t>Objednávky a Smlouvy musí mít písemnou formu. To platí i pro následné změny Smlouvy a doplnění objednávek.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4" w:line="249" w:lineRule="auto"/>
        <w:ind w:left="807" w:right="9" w:hanging="440"/>
      </w:pPr>
      <w:r>
        <w:t>2.2.</w:t>
      </w:r>
      <w:r>
        <w:rPr>
          <w:rFonts w:ascii="Times New Roman" w:eastAsia="Times New Roman" w:hAnsi="Times New Roman" w:cs="Times New Roman"/>
          <w:sz w:val="20"/>
        </w:rPr>
        <w:t xml:space="preserve"> </w:t>
      </w:r>
      <w:r>
        <w:rPr>
          <w:sz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4" w:right="11" w:hanging="437"/>
      </w:pPr>
      <w:r>
        <w:t>2.3.</w:t>
      </w:r>
      <w:r>
        <w:rPr>
          <w:rFonts w:ascii="Times New Roman" w:eastAsia="Times New Roman" w:hAnsi="Times New Roman" w:cs="Times New Roman"/>
          <w:sz w:val="20"/>
        </w:rPr>
        <w:t xml:space="preserve"> </w:t>
      </w:r>
      <w: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r>
        <w:rPr>
          <w:rFonts w:ascii="Times New Roman" w:eastAsia="Times New Roman" w:hAnsi="Times New Roman" w:cs="Times New Roman"/>
          <w:sz w:val="20"/>
        </w:rPr>
        <w:t xml:space="preserve"> </w:t>
      </w:r>
    </w:p>
    <w:p w:rsidR="00697E92" w:rsidRDefault="00AE41AE">
      <w:pPr>
        <w:pStyle w:val="Nadpis1"/>
        <w:ind w:left="15"/>
      </w:pPr>
      <w:r>
        <w:t>3.</w:t>
      </w:r>
      <w:r>
        <w:rPr>
          <w:rFonts w:ascii="Arial" w:eastAsia="Arial" w:hAnsi="Arial" w:cs="Arial"/>
        </w:rPr>
        <w:t xml:space="preserve"> </w:t>
      </w:r>
      <w:r>
        <w:t xml:space="preserve">Povaha předmětu plnění, Pracovníci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3.1. 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3.2.</w:t>
      </w:r>
      <w:r>
        <w:rPr>
          <w:rFonts w:ascii="Times New Roman" w:eastAsia="Times New Roman" w:hAnsi="Times New Roman" w:cs="Times New Roman"/>
          <w:sz w:val="20"/>
        </w:rPr>
        <w:t xml:space="preserve"> </w:t>
      </w:r>
      <w:r>
        <w:t>Dodavatel zajistí, aby předmět plnění byl vhodný pro účely vyplývající ze Smlouvy a použitelný v souladu s platnými zákony.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3.3.</w:t>
      </w:r>
      <w:r>
        <w:rPr>
          <w:rFonts w:ascii="Times New Roman" w:eastAsia="Times New Roman" w:hAnsi="Times New Roman" w:cs="Times New Roman"/>
          <w:sz w:val="20"/>
        </w:rPr>
        <w:t xml:space="preserve"> </w:t>
      </w:r>
      <w: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3.4.</w:t>
      </w:r>
      <w:r>
        <w:rPr>
          <w:rFonts w:ascii="Times New Roman" w:eastAsia="Times New Roman" w:hAnsi="Times New Roman" w:cs="Times New Roman"/>
          <w:sz w:val="20"/>
        </w:rPr>
        <w:t xml:space="preserve"> </w:t>
      </w:r>
      <w:r>
        <w:t xml:space="preserve">Dodavatel bez zbytečného odkladu vyrozumí společnost E.ON o případných výhradách ohledně předpokládaného způsobu </w:t>
      </w:r>
    </w:p>
    <w:p w:rsidR="00697E92" w:rsidRDefault="00AE41AE">
      <w:pPr>
        <w:ind w:left="804" w:right="11"/>
      </w:pPr>
      <w:r>
        <w:t>provedení nebo plnění ze strany jiných dodavatelů, pokud se týkají oblasti působnosti Dodavatele při plnění objednávky.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3.5.</w:t>
      </w:r>
      <w:r>
        <w:rPr>
          <w:rFonts w:ascii="Times New Roman" w:eastAsia="Times New Roman" w:hAnsi="Times New Roman" w:cs="Times New Roman"/>
          <w:sz w:val="20"/>
        </w:rPr>
        <w:t xml:space="preserve"> </w:t>
      </w:r>
      <w: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18" w:right="11" w:hanging="451"/>
      </w:pPr>
      <w:r>
        <w:t>3.6.</w:t>
      </w:r>
      <w:r>
        <w:rPr>
          <w:rFonts w:ascii="Times New Roman" w:eastAsia="Times New Roman" w:hAnsi="Times New Roman" w:cs="Times New Roman"/>
          <w:sz w:val="20"/>
        </w:rPr>
        <w:t xml:space="preserve"> </w:t>
      </w:r>
      <w: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3.7.</w:t>
      </w:r>
      <w:r>
        <w:rPr>
          <w:rFonts w:ascii="Times New Roman" w:eastAsia="Times New Roman" w:hAnsi="Times New Roman" w:cs="Times New Roman"/>
          <w:sz w:val="20"/>
        </w:rPr>
        <w:t xml:space="preserve"> </w:t>
      </w:r>
      <w:r>
        <w:rPr>
          <w:sz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r>
        <w:rPr>
          <w:rFonts w:ascii="Times New Roman" w:eastAsia="Times New Roman" w:hAnsi="Times New Roman" w:cs="Times New Roman"/>
          <w:sz w:val="20"/>
        </w:rPr>
        <w:t xml:space="preserve"> </w:t>
      </w:r>
      <w:r>
        <w:t>v produktivitě). V tomto ohledu důkazní břemeno nese Dodavatel.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3.8.</w:t>
      </w:r>
      <w:r>
        <w:rPr>
          <w:rFonts w:ascii="Times New Roman" w:eastAsia="Times New Roman" w:hAnsi="Times New Roman" w:cs="Times New Roman"/>
          <w:sz w:val="20"/>
        </w:rPr>
        <w:t xml:space="preserve"> </w:t>
      </w:r>
      <w:r>
        <w:t xml:space="preserve">Pokud Dodavatel během doby trvání Smlouvy překlasifikuje kvalifikaci původně zapojených pracovníků do vyšší kvalifikační </w:t>
      </w:r>
    </w:p>
    <w:p w:rsidR="00697E92" w:rsidRDefault="00AE41AE">
      <w:pPr>
        <w:ind w:left="804" w:right="11"/>
      </w:pPr>
      <w:r>
        <w:t>úrovně, povinnosti týkající se poskytnutí odměny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3.9.</w:t>
      </w:r>
      <w:r>
        <w:rPr>
          <w:rFonts w:ascii="Times New Roman" w:eastAsia="Times New Roman" w:hAnsi="Times New Roman" w:cs="Times New Roman"/>
          <w:sz w:val="20"/>
        </w:rPr>
        <w:t xml:space="preserve"> </w:t>
      </w: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785"/>
        </w:tabs>
        <w:ind w:left="0" w:firstLine="0"/>
      </w:pPr>
      <w:r>
        <w:t>4.</w:t>
      </w:r>
      <w:r>
        <w:rPr>
          <w:rFonts w:ascii="Arial" w:eastAsia="Arial" w:hAnsi="Arial" w:cs="Arial"/>
        </w:rPr>
        <w:t xml:space="preserve"> </w:t>
      </w:r>
      <w:r>
        <w:rPr>
          <w:rFonts w:ascii="Arial" w:eastAsia="Arial" w:hAnsi="Arial" w:cs="Arial"/>
        </w:rPr>
        <w:tab/>
      </w:r>
      <w:r>
        <w:t xml:space="preserve">Příjemce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Pojmem „</w:t>
      </w:r>
      <w:r>
        <w:rPr>
          <w:b/>
        </w:rPr>
        <w:t>Příjemce</w:t>
      </w:r>
      <w: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4041"/>
        </w:tabs>
        <w:ind w:left="0" w:firstLine="0"/>
      </w:pPr>
      <w:r>
        <w:t>5.</w:t>
      </w:r>
      <w:r>
        <w:rPr>
          <w:rFonts w:ascii="Arial" w:eastAsia="Arial" w:hAnsi="Arial" w:cs="Arial"/>
        </w:rPr>
        <w:t xml:space="preserve"> </w:t>
      </w:r>
      <w:r>
        <w:rPr>
          <w:rFonts w:ascii="Arial" w:eastAsia="Arial" w:hAnsi="Arial" w:cs="Arial"/>
        </w:rPr>
        <w:tab/>
      </w:r>
      <w:r>
        <w:t xml:space="preserve">Spolupráce Smluvních stran, profesní bezúhonnost a dodržování předpisů, bezpečnost při práci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5.1.</w:t>
      </w:r>
      <w:r>
        <w:rPr>
          <w:rFonts w:ascii="Times New Roman" w:eastAsia="Times New Roman" w:hAnsi="Times New Roman" w:cs="Times New Roman"/>
          <w:sz w:val="20"/>
        </w:rPr>
        <w:t xml:space="preserve"> </w:t>
      </w: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5.2.</w:t>
      </w:r>
      <w:r>
        <w:rPr>
          <w:rFonts w:ascii="Times New Roman" w:eastAsia="Times New Roman" w:hAnsi="Times New Roman" w:cs="Times New Roman"/>
          <w:sz w:val="20"/>
        </w:rPr>
        <w:t xml:space="preserve"> </w:t>
      </w:r>
      <w: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5.3.</w:t>
      </w:r>
      <w:r>
        <w:rPr>
          <w:rFonts w:ascii="Times New Roman" w:eastAsia="Times New Roman" w:hAnsi="Times New Roman" w:cs="Times New Roman"/>
          <w:sz w:val="20"/>
        </w:rPr>
        <w:t xml:space="preserve"> </w:t>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Pr>
          <w:u w:val="single" w:color="000000"/>
        </w:rPr>
        <w:t>http://www.eon.cz/o-nas/o-skupine-eon/propartnery/vseobecne-nakupni-podminky</w:t>
      </w:r>
      <w:r>
        <w:t>)</w:t>
      </w:r>
      <w:hyperlink r:id="rId7">
        <w:r>
          <w:t xml:space="preserve">. </w:t>
        </w:r>
      </w:hyperlink>
      <w:hyperlink r:id="rId8">
        <w:r>
          <w:t>D</w:t>
        </w:r>
      </w:hyperlink>
      <w:r>
        <w:t xml:space="preserve">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40"/>
        <w:ind w:left="806" w:right="11" w:hanging="439"/>
      </w:pPr>
      <w:r>
        <w:t>5.4.</w:t>
      </w:r>
      <w:r>
        <w:rPr>
          <w:rFonts w:ascii="Times New Roman" w:eastAsia="Times New Roman" w:hAnsi="Times New Roman" w:cs="Times New Roman"/>
          <w:sz w:val="20"/>
        </w:rPr>
        <w:t xml:space="preserve"> </w:t>
      </w:r>
      <w: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5.5.</w:t>
      </w:r>
      <w:r>
        <w:rPr>
          <w:rFonts w:ascii="Times New Roman" w:eastAsia="Times New Roman" w:hAnsi="Times New Roman" w:cs="Times New Roman"/>
          <w:sz w:val="20"/>
        </w:rPr>
        <w:t xml:space="preserve"> </w:t>
      </w:r>
      <w:r>
        <w:rPr>
          <w:sz w:val="17"/>
        </w:rPr>
        <w:t>Poskytovatel je povinen disponovat po celou dobu realizace smlouvy veškerými oprávněními, která jsou potřebná pro realizaci dané smlouvy, a/nebo která jsou pro realizaci dané smlouvy českými veřejnoprávními předpisy vyžadována, zejména</w:t>
      </w:r>
      <w:r>
        <w:rPr>
          <w:rFonts w:ascii="Times New Roman" w:eastAsia="Times New Roman" w:hAnsi="Times New Roman" w:cs="Times New Roman"/>
          <w:sz w:val="20"/>
        </w:rPr>
        <w:t xml:space="preserve"> </w:t>
      </w:r>
    </w:p>
    <w:p w:rsidR="00697E92" w:rsidRDefault="00AE41AE">
      <w:pPr>
        <w:pStyle w:val="Nadpis1"/>
        <w:spacing w:after="877"/>
      </w:pPr>
      <w:r>
        <w:t xml:space="preserve">Všeobecné nákupní podmínky společnosti E.ON Czech </w:t>
      </w:r>
    </w:p>
    <w:p w:rsidR="00697E92" w:rsidRDefault="00AE41AE">
      <w:pPr>
        <w:ind w:left="823" w:right="11"/>
      </w:pPr>
      <w:r>
        <w:t>příslušným oprávněním k podnikání. Existenci těchto oprávnění je Poskytovatel povinen na vyžádání odběratele doložit, k čemuž zároveň ve smlouvě o poddodávkách zaváže poddodavatele, pokud je využije pro realizaci části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5.6.</w:t>
      </w:r>
      <w:r>
        <w:rPr>
          <w:rFonts w:ascii="Times New Roman" w:eastAsia="Times New Roman" w:hAnsi="Times New Roman" w:cs="Times New Roman"/>
          <w:sz w:val="20"/>
        </w:rPr>
        <w:t xml:space="preserve"> </w:t>
      </w:r>
      <w:r>
        <w:t xml:space="preserve">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w:t>
      </w:r>
    </w:p>
    <w:p w:rsidR="00697E92" w:rsidRDefault="00AE41AE">
      <w:pPr>
        <w:spacing w:after="0" w:line="259" w:lineRule="auto"/>
        <w:ind w:left="814" w:hanging="10"/>
        <w:jc w:val="left"/>
      </w:pPr>
      <w:r>
        <w:t>(vybavení odpovídající havarijní soupravou).</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5.7.</w:t>
      </w:r>
      <w:r>
        <w:rPr>
          <w:rFonts w:ascii="Times New Roman" w:eastAsia="Times New Roman" w:hAnsi="Times New Roman" w:cs="Times New Roman"/>
          <w:sz w:val="20"/>
        </w:rPr>
        <w:t xml:space="preserve"> </w:t>
      </w:r>
      <w: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367" w:right="9" w:firstLine="0"/>
      </w:pPr>
      <w:r>
        <w:t>5.8.</w:t>
      </w:r>
      <w:r>
        <w:rPr>
          <w:rFonts w:ascii="Times New Roman" w:eastAsia="Times New Roman" w:hAnsi="Times New Roman" w:cs="Times New Roman"/>
          <w:sz w:val="20"/>
        </w:rPr>
        <w:t xml:space="preserve"> </w:t>
      </w:r>
      <w:r>
        <w:rPr>
          <w:sz w:val="17"/>
        </w:rPr>
        <w:t xml:space="preserve">Poskytovatel musí Odběratele informovat o všech důležitých okolnostech dotýkajících se ochrany životního prostředí zejména o </w:t>
      </w:r>
    </w:p>
    <w:p w:rsidR="00697E92" w:rsidRDefault="00AE41AE">
      <w:pPr>
        <w:spacing w:after="0" w:line="259" w:lineRule="auto"/>
        <w:ind w:left="64" w:firstLine="0"/>
        <w:jc w:val="center"/>
      </w:pPr>
      <w:r>
        <w:rPr>
          <w:sz w:val="17"/>
        </w:rPr>
        <w:t>vzniku a řešení událostí s možným dopadem na životní prostředí (situace havarijního ohrožení, environmentální havárie).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5.9.</w:t>
      </w:r>
      <w:r>
        <w:rPr>
          <w:rFonts w:ascii="Times New Roman" w:eastAsia="Times New Roman" w:hAnsi="Times New Roman" w:cs="Times New Roman"/>
          <w:sz w:val="20"/>
        </w:rPr>
        <w:t xml:space="preserve"> </w:t>
      </w:r>
      <w:r>
        <w:rPr>
          <w:sz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w:t>
      </w:r>
      <w:r>
        <w:lastRenderedPageBreak/>
        <w:t>organizací zveřejněných v přílohách výše uvedených nařízení. Pokud jejich jméno a totožnost v těchto seznamech uvedeno je, není dovoleno s těmito osobami, skupinami nebo organizacemi v jakékoli podobě obchodovat.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5.12. Poskytovatel je povinen dodržovat technologické postupy, platné technické či právní normy, požadavky státních orgánů a provozní pravidla a předpisy Odběratele s ohledem na potenciální vliv na významné užití energie.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6.</w:t>
      </w:r>
      <w:r>
        <w:rPr>
          <w:rFonts w:ascii="Arial" w:eastAsia="Arial" w:hAnsi="Arial" w:cs="Arial"/>
        </w:rPr>
        <w:t xml:space="preserve"> </w:t>
      </w:r>
      <w:r>
        <w:t xml:space="preserve">Doba poskytování plnění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6.1.</w:t>
      </w:r>
      <w:r>
        <w:rPr>
          <w:rFonts w:ascii="Times New Roman" w:eastAsia="Times New Roman" w:hAnsi="Times New Roman" w:cs="Times New Roman"/>
          <w:sz w:val="20"/>
        </w:rPr>
        <w:t xml:space="preserve"> </w:t>
      </w:r>
      <w: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6.2.</w:t>
      </w:r>
      <w:r>
        <w:rPr>
          <w:rFonts w:ascii="Times New Roman" w:eastAsia="Times New Roman" w:hAnsi="Times New Roman" w:cs="Times New Roman"/>
          <w:sz w:val="20"/>
        </w:rPr>
        <w:t xml:space="preserve"> </w:t>
      </w: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r>
        <w:rPr>
          <w:rFonts w:ascii="Times New Roman" w:eastAsia="Times New Roman" w:hAnsi="Times New Roman" w:cs="Times New Roman"/>
          <w:sz w:val="20"/>
        </w:rPr>
        <w:t xml:space="preserve"> </w:t>
      </w:r>
    </w:p>
    <w:p w:rsidR="00697E92" w:rsidRDefault="00AE41AE">
      <w:pPr>
        <w:spacing w:after="7"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524"/>
        </w:tabs>
        <w:ind w:left="0" w:firstLine="0"/>
      </w:pPr>
      <w:r>
        <w:t>7.</w:t>
      </w:r>
      <w:r>
        <w:rPr>
          <w:rFonts w:ascii="Arial" w:eastAsia="Arial" w:hAnsi="Arial" w:cs="Arial"/>
        </w:rPr>
        <w:t xml:space="preserve"> </w:t>
      </w:r>
      <w:r>
        <w:rPr>
          <w:rFonts w:ascii="Arial" w:eastAsia="Arial" w:hAnsi="Arial" w:cs="Arial"/>
        </w:rPr>
        <w:tab/>
      </w:r>
      <w:r>
        <w:t xml:space="preserve">Místo plnění/Doprava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7.1.</w:t>
      </w:r>
      <w:r>
        <w:rPr>
          <w:rFonts w:ascii="Times New Roman" w:eastAsia="Times New Roman" w:hAnsi="Times New Roman" w:cs="Times New Roman"/>
          <w:sz w:val="20"/>
        </w:rPr>
        <w:t xml:space="preserve"> </w:t>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a riziko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1"/>
        <w:ind w:left="806" w:right="11" w:hanging="439"/>
      </w:pPr>
      <w:r>
        <w:t>7.2.</w:t>
      </w:r>
      <w:r>
        <w:rPr>
          <w:rFonts w:ascii="Times New Roman" w:eastAsia="Times New Roman" w:hAnsi="Times New Roman" w:cs="Times New Roman"/>
          <w:sz w:val="20"/>
        </w:rPr>
        <w:t xml:space="preserve"> </w:t>
      </w: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r>
        <w:rPr>
          <w:rFonts w:ascii="Times New Roman" w:eastAsia="Times New Roman" w:hAnsi="Times New Roman" w:cs="Times New Roman"/>
          <w:sz w:val="20"/>
        </w:rPr>
        <w:t xml:space="preserve"> </w:t>
      </w:r>
    </w:p>
    <w:p w:rsidR="00697E92" w:rsidRDefault="00AE41AE">
      <w:pPr>
        <w:ind w:left="765" w:right="11" w:hanging="398"/>
      </w:pPr>
      <w:r>
        <w:t>7.3. V přepravní dokumentaci musí být uvedeny údaje týkající se objednávky (číslo objednávky, datum objednávky, místo dodání a případně jméno příjemce zásilky a číslo materiálu) spolu s adresou místa dodání.</w:t>
      </w:r>
      <w:r>
        <w:rPr>
          <w:rFonts w:ascii="Times New Roman" w:eastAsia="Times New Roman" w:hAnsi="Times New Roman" w:cs="Times New Roman"/>
          <w:sz w:val="20"/>
        </w:rPr>
        <w:t xml:space="preserve"> </w:t>
      </w:r>
    </w:p>
    <w:p w:rsidR="00697E92" w:rsidRDefault="00AE41AE">
      <w:pPr>
        <w:ind w:left="372" w:right="11"/>
      </w:pPr>
      <w:r>
        <w:t xml:space="preserve">7.4. Náklady, které vzniknou v důsledku dodávek dodaných na nesprávné místo nese Dodavatel, pokud převezme odpovědnost za </w:t>
      </w:r>
    </w:p>
    <w:p w:rsidR="00697E92" w:rsidRDefault="00AE41AE">
      <w:pPr>
        <w:ind w:left="725" w:right="11"/>
      </w:pPr>
      <w:r>
        <w:t>přepravu nebo pokud dodání na nesprávné místo způsobil.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7.5.</w:t>
      </w:r>
      <w:r>
        <w:rPr>
          <w:rFonts w:ascii="Times New Roman" w:eastAsia="Times New Roman" w:hAnsi="Times New Roman" w:cs="Times New Roman"/>
          <w:sz w:val="20"/>
        </w:rPr>
        <w:t xml:space="preserve"> </w:t>
      </w:r>
      <w:r>
        <w:t xml:space="preserve">Dodavatel je oprávněn poskytnout částečné dodávky nebo částečné plnění pouze s předchozím souhlasem společnosti E.ON </w:t>
      </w:r>
    </w:p>
    <w:p w:rsidR="00697E92" w:rsidRDefault="00AE41AE">
      <w:pPr>
        <w:ind w:left="804" w:right="11"/>
      </w:pPr>
      <w:r>
        <w:t>v písemné nebo textové podobě.</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7.6.</w:t>
      </w:r>
      <w:r>
        <w:rPr>
          <w:rFonts w:ascii="Times New Roman" w:eastAsia="Times New Roman" w:hAnsi="Times New Roman" w:cs="Times New Roman"/>
          <w:sz w:val="20"/>
        </w:rPr>
        <w:t xml:space="preserve"> </w:t>
      </w: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7.7. 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8.</w:t>
      </w:r>
      <w:r>
        <w:rPr>
          <w:rFonts w:ascii="Arial" w:eastAsia="Arial" w:hAnsi="Arial" w:cs="Arial"/>
        </w:rPr>
        <w:t xml:space="preserve"> </w:t>
      </w:r>
      <w:r>
        <w:t xml:space="preserve">Přejímka/Přechod vlastnického práva/Přechod nebezpečí škody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8.1.</w:t>
      </w:r>
      <w:r>
        <w:rPr>
          <w:rFonts w:ascii="Times New Roman" w:eastAsia="Times New Roman" w:hAnsi="Times New Roman" w:cs="Times New Roman"/>
          <w:sz w:val="20"/>
        </w:rPr>
        <w:t xml:space="preserve"> </w:t>
      </w:r>
      <w:r>
        <w:t xml:space="preserve">Odběratel přejímá plnění výhradně formalizovaným způsobem. Přejímka musí být písemně zaprotokolována. Dílčí přejímky </w:t>
      </w:r>
    </w:p>
    <w:p w:rsidR="00697E92" w:rsidRDefault="00AE41AE">
      <w:pPr>
        <w:ind w:left="804" w:right="11"/>
      </w:pPr>
      <w:r>
        <w:t>jsou možné jen v případě, že jsou Odběratelem výslovně písemně požadovány.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8.2.</w:t>
      </w:r>
      <w:r>
        <w:rPr>
          <w:rFonts w:ascii="Times New Roman" w:eastAsia="Times New Roman" w:hAnsi="Times New Roman" w:cs="Times New Roman"/>
          <w:sz w:val="20"/>
        </w:rPr>
        <w:t xml:space="preserve"> </w:t>
      </w:r>
      <w:r>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lastRenderedPageBreak/>
        <w:t>8.3.</w:t>
      </w:r>
      <w:r>
        <w:rPr>
          <w:rFonts w:ascii="Times New Roman" w:eastAsia="Times New Roman" w:hAnsi="Times New Roman" w:cs="Times New Roman"/>
          <w:sz w:val="20"/>
        </w:rPr>
        <w:t xml:space="preserve"> </w:t>
      </w: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8.4. Je-li předmětem plnění smlouvy údržba, oprava či úprava věci, nese po dobu trvání smlouvy nebezpečí škody na této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91"/>
        <w:ind w:left="804" w:right="11" w:hanging="437"/>
      </w:pPr>
      <w:r>
        <w:t>8.5.</w:t>
      </w:r>
      <w:r>
        <w:rPr>
          <w:rFonts w:ascii="Times New Roman" w:eastAsia="Times New Roman" w:hAnsi="Times New Roman" w:cs="Times New Roman"/>
          <w:sz w:val="20"/>
        </w:rPr>
        <w:t xml:space="preserve"> </w:t>
      </w: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9. Reklamace vad</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444" w:right="10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10. Dokumentace</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81"/>
        <w:ind w:left="804" w:right="11" w:hanging="437"/>
      </w:pPr>
      <w: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10.2. Poskytovatel je povinen u náhradních rezervních dílů uvést všechny jednoznačně popsané atributy, např.:</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
        </w:numPr>
        <w:ind w:right="11" w:hanging="348"/>
      </w:pPr>
      <w:r>
        <w:t>výrobce,</w:t>
      </w:r>
      <w:r>
        <w:rPr>
          <w:rFonts w:ascii="Arial" w:eastAsia="Arial" w:hAnsi="Arial" w:cs="Arial"/>
        </w:rPr>
        <w:t xml:space="preserve"> </w:t>
      </w:r>
    </w:p>
    <w:p w:rsidR="00697E92" w:rsidRDefault="00AE41AE">
      <w:pPr>
        <w:numPr>
          <w:ilvl w:val="0"/>
          <w:numId w:val="1"/>
        </w:numPr>
        <w:ind w:right="11" w:hanging="348"/>
      </w:pPr>
      <w:r>
        <w:t>typ,</w:t>
      </w:r>
      <w:r>
        <w:rPr>
          <w:rFonts w:ascii="Arial" w:eastAsia="Arial" w:hAnsi="Arial" w:cs="Arial"/>
        </w:rPr>
        <w:t xml:space="preserve"> </w:t>
      </w:r>
    </w:p>
    <w:p w:rsidR="00697E92" w:rsidRDefault="00AE41AE">
      <w:pPr>
        <w:numPr>
          <w:ilvl w:val="0"/>
          <w:numId w:val="1"/>
        </w:numPr>
        <w:ind w:right="11" w:hanging="348"/>
      </w:pPr>
      <w:r>
        <w:t>číslo objednávky/číslo výrobku/identifikační číslo,</w:t>
      </w:r>
      <w:r>
        <w:rPr>
          <w:rFonts w:ascii="Arial" w:eastAsia="Arial" w:hAnsi="Arial" w:cs="Arial"/>
        </w:rPr>
        <w:t xml:space="preserve"> </w:t>
      </w:r>
    </w:p>
    <w:p w:rsidR="00697E92" w:rsidRDefault="00AE41AE">
      <w:pPr>
        <w:numPr>
          <w:ilvl w:val="0"/>
          <w:numId w:val="1"/>
        </w:numPr>
        <w:ind w:right="11" w:hanging="348"/>
      </w:pPr>
      <w:r>
        <w:t>rozměry,</w:t>
      </w:r>
      <w:r>
        <w:rPr>
          <w:rFonts w:ascii="Arial" w:eastAsia="Arial" w:hAnsi="Arial" w:cs="Arial"/>
        </w:rPr>
        <w:t xml:space="preserve"> </w:t>
      </w:r>
    </w:p>
    <w:p w:rsidR="00697E92" w:rsidRDefault="00AE41AE">
      <w:pPr>
        <w:numPr>
          <w:ilvl w:val="0"/>
          <w:numId w:val="1"/>
        </w:numPr>
        <w:ind w:right="11" w:hanging="348"/>
      </w:pPr>
      <w:r>
        <w:t>materiál,</w:t>
      </w:r>
      <w:r>
        <w:rPr>
          <w:rFonts w:ascii="Arial" w:eastAsia="Arial" w:hAnsi="Arial" w:cs="Arial"/>
        </w:rPr>
        <w:t xml:space="preserve"> </w:t>
      </w:r>
    </w:p>
    <w:p w:rsidR="00697E92" w:rsidRDefault="00AE41AE">
      <w:pPr>
        <w:numPr>
          <w:ilvl w:val="0"/>
          <w:numId w:val="1"/>
        </w:numPr>
        <w:spacing w:after="99"/>
        <w:ind w:right="11" w:hanging="348"/>
      </w:pPr>
      <w:r>
        <w:t>označení normy, např. ČSN, DIN, IEC, ISO atd.</w:t>
      </w:r>
      <w:r>
        <w:rPr>
          <w:rFonts w:ascii="Arial" w:eastAsia="Arial" w:hAnsi="Arial" w:cs="Arial"/>
        </w:rPr>
        <w:t xml:space="preserve"> </w:t>
      </w:r>
    </w:p>
    <w:p w:rsidR="00697E92" w:rsidRDefault="00AE41AE">
      <w:pPr>
        <w:spacing w:after="14" w:line="259" w:lineRule="auto"/>
        <w:ind w:left="1" w:firstLine="0"/>
        <w:jc w:val="left"/>
      </w:pPr>
      <w:r>
        <w:rPr>
          <w:rFonts w:ascii="Arial" w:eastAsia="Arial" w:hAnsi="Arial" w:cs="Arial"/>
        </w:rPr>
        <w:t xml:space="preserve"> </w:t>
      </w:r>
    </w:p>
    <w:p w:rsidR="00697E92" w:rsidRDefault="00AE41AE">
      <w:pPr>
        <w:pStyle w:val="Nadpis1"/>
        <w:spacing w:after="95"/>
        <w:ind w:left="15"/>
      </w:pPr>
      <w:r>
        <w:t>11.</w:t>
      </w:r>
      <w:r>
        <w:rPr>
          <w:rFonts w:ascii="Arial" w:eastAsia="Arial" w:hAnsi="Arial" w:cs="Arial"/>
        </w:rPr>
        <w:t xml:space="preserve"> </w:t>
      </w:r>
      <w:r>
        <w:t xml:space="preserve">Nároky z vad, promlčení </w:t>
      </w:r>
    </w:p>
    <w:p w:rsidR="00697E92" w:rsidRDefault="00AE41AE">
      <w:pPr>
        <w:ind w:left="806" w:right="11" w:hanging="439"/>
      </w:pPr>
      <w:r>
        <w:t>11.1. Bez ohledu na to, zda je dodáním zboží s vadami, předáním díla s vadami či dodáním jiného vadného plnění smlouva porušena podstatným způsobem či nikoli, může Odběratel:</w:t>
      </w:r>
      <w:r>
        <w:rPr>
          <w:rFonts w:ascii="Times New Roman" w:eastAsia="Times New Roman" w:hAnsi="Times New Roman" w:cs="Times New Roman"/>
          <w:sz w:val="20"/>
        </w:rPr>
        <w:t xml:space="preserve"> </w:t>
      </w:r>
    </w:p>
    <w:p w:rsidR="00697E92" w:rsidRDefault="00697E92">
      <w:pPr>
        <w:sectPr w:rsidR="00697E92">
          <w:headerReference w:type="even" r:id="rId9"/>
          <w:headerReference w:type="default" r:id="rId10"/>
          <w:headerReference w:type="first" r:id="rId11"/>
          <w:pgSz w:w="11899" w:h="16838"/>
          <w:pgMar w:top="753" w:right="997" w:bottom="1382" w:left="1001" w:header="700" w:footer="708" w:gutter="0"/>
          <w:cols w:space="708"/>
          <w:titlePg/>
        </w:sectPr>
      </w:pPr>
    </w:p>
    <w:p w:rsidR="00697E92" w:rsidRDefault="00AE41AE">
      <w:pPr>
        <w:spacing w:after="869" w:line="259" w:lineRule="auto"/>
        <w:ind w:left="0" w:right="624" w:firstLine="0"/>
        <w:jc w:val="right"/>
      </w:pPr>
      <w:r>
        <w:rPr>
          <w:b/>
        </w:rPr>
        <w:lastRenderedPageBreak/>
        <w:t>– leden 2020</w:t>
      </w: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 xml:space="preserve">požadovat odstranění vad dodáním náhradního zboží, díla, výkonu či práce (dále jen „předmět plnění“) za vadný předmět plnění, dodání chybějící části předmětu plnění a požadovat odstranění právních vad, </w:t>
      </w:r>
    </w:p>
    <w:p w:rsidR="00697E92" w:rsidRDefault="00AE41AE">
      <w:pPr>
        <w:spacing w:after="0" w:line="259" w:lineRule="auto"/>
        <w:ind w:left="5" w:firstLine="0"/>
        <w:jc w:val="left"/>
      </w:pPr>
      <w:r>
        <w:t xml:space="preserve"> </w:t>
      </w:r>
    </w:p>
    <w:p w:rsidR="00697E92" w:rsidRDefault="00AE41AE">
      <w:pPr>
        <w:numPr>
          <w:ilvl w:val="0"/>
          <w:numId w:val="2"/>
        </w:numPr>
        <w:ind w:left="980" w:right="11" w:hanging="183"/>
      </w:pPr>
      <w:r>
        <w:t xml:space="preserve">požadovat odstranění vad předmětu plnění opravou zboží, je-li to z povahy věci možné, </w:t>
      </w:r>
    </w:p>
    <w:p w:rsidR="00697E92" w:rsidRDefault="00AE41AE">
      <w:pPr>
        <w:ind w:left="799" w:right="6821" w:hanging="794"/>
      </w:pPr>
      <w:r>
        <w:rPr>
          <w:rFonts w:ascii="Times New Roman" w:eastAsia="Times New Roman" w:hAnsi="Times New Roman" w:cs="Times New Roman"/>
          <w:sz w:val="20"/>
        </w:rPr>
        <w:t xml:space="preserve"> </w:t>
      </w:r>
      <w:r>
        <w:t>a jestliže vady jsou opravitelné,</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 xml:space="preserve">požadovat přiměřenou slevu z ceny předmětu plnění, nebo </w:t>
      </w:r>
    </w:p>
    <w:p w:rsidR="00697E92" w:rsidRDefault="00AE41AE">
      <w:pPr>
        <w:spacing w:after="0" w:line="259" w:lineRule="auto"/>
        <w:ind w:left="5" w:firstLine="0"/>
        <w:jc w:val="left"/>
      </w:pPr>
      <w:r>
        <w:t xml:space="preserve"> </w:t>
      </w:r>
    </w:p>
    <w:p w:rsidR="00697E92" w:rsidRDefault="00AE41AE">
      <w:pPr>
        <w:numPr>
          <w:ilvl w:val="0"/>
          <w:numId w:val="2"/>
        </w:numPr>
        <w:spacing w:after="0" w:line="259" w:lineRule="auto"/>
        <w:ind w:left="980" w:right="11" w:hanging="183"/>
      </w:pPr>
      <w:r>
        <w:t xml:space="preserve">odstoupit od smlouvy.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Změní-li se části předmětu plnění smlouvy v rámci uplatňování nároků z vad nebo budou-li nahrazeny odlišnými částmi, je Poskytovatel povinen na své náklady změnit nebo vyměnit odpovídající náhradní a rezervní díly.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 xml:space="preserve">V případě odstoupení od smlouvy nese Dodavatel náklady na případnou demontáž/odstranění předmětu plnění, je-li takového </w:t>
      </w:r>
    </w:p>
    <w:p w:rsidR="00697E92" w:rsidRDefault="00AE41AE">
      <w:pPr>
        <w:ind w:left="804" w:right="11"/>
      </w:pPr>
      <w:r>
        <w:t>úkonu zapotřebí, nese náklady na jeho další přepravu a odpovídá za jeho likvidaci.</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Promlčecí lhůta u nároků z vad se prodlužuje o období nacházející se mezi doručením oznámení o reklamaci vady a jejím odstraněním.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spacing w:after="141"/>
        <w:ind w:right="11" w:hanging="422"/>
      </w:pPr>
      <w:r>
        <w:t>Promlčecí lhůta je tři roky od data úplného dodání předmětu plnění.</w:t>
      </w:r>
      <w:r>
        <w:rPr>
          <w:rFonts w:ascii="Times New Roman" w:eastAsia="Times New Roman" w:hAnsi="Times New Roman" w:cs="Times New Roman"/>
          <w:sz w:val="20"/>
        </w:rPr>
        <w:t xml:space="preserve"> </w:t>
      </w:r>
    </w:p>
    <w:p w:rsidR="00697E92" w:rsidRDefault="00AE41AE">
      <w:pPr>
        <w:spacing w:after="15"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212"/>
        </w:tabs>
        <w:ind w:left="0" w:firstLine="0"/>
      </w:pPr>
      <w:r>
        <w:t>12.</w:t>
      </w:r>
      <w:r>
        <w:rPr>
          <w:rFonts w:ascii="Arial" w:eastAsia="Arial" w:hAnsi="Arial" w:cs="Arial"/>
        </w:rPr>
        <w:t xml:space="preserve"> </w:t>
      </w:r>
      <w:r>
        <w:rPr>
          <w:rFonts w:ascii="Arial" w:eastAsia="Arial" w:hAnsi="Arial" w:cs="Arial"/>
        </w:rPr>
        <w:tab/>
      </w:r>
      <w:r>
        <w:t xml:space="preserve">Užívací práva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51"/>
        <w:ind w:left="463" w:right="11"/>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13.</w:t>
      </w:r>
      <w:r>
        <w:rPr>
          <w:rFonts w:ascii="Arial" w:eastAsia="Arial" w:hAnsi="Arial" w:cs="Arial"/>
        </w:rPr>
        <w:t xml:space="preserve"> </w:t>
      </w:r>
      <w:r>
        <w:t xml:space="preserve">Porušení práv duševního vlastnictví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07" w:line="249" w:lineRule="auto"/>
        <w:ind w:left="807" w:right="9" w:hanging="440"/>
      </w:pPr>
      <w:r>
        <w:rPr>
          <w:sz w:val="17"/>
        </w:rPr>
        <w:lastRenderedPageBreak/>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14.</w:t>
      </w:r>
      <w:r>
        <w:rPr>
          <w:rFonts w:ascii="Arial" w:eastAsia="Arial" w:hAnsi="Arial" w:cs="Arial"/>
        </w:rPr>
        <w:t xml:space="preserve"> </w:t>
      </w:r>
      <w:r>
        <w:t xml:space="preserve">Povinnosti spolupráce společnosti E.ON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r>
        <w:rPr>
          <w:rFonts w:ascii="Times New Roman" w:eastAsia="Times New Roman" w:hAnsi="Times New Roman" w:cs="Times New Roman"/>
          <w:sz w:val="20"/>
        </w:rPr>
        <w:t xml:space="preserve"> </w:t>
      </w:r>
    </w:p>
    <w:p w:rsidR="00697E92" w:rsidRDefault="00AE41AE">
      <w:pPr>
        <w:pStyle w:val="Nadpis1"/>
        <w:ind w:left="15"/>
      </w:pPr>
      <w:r>
        <w:t>15.</w:t>
      </w:r>
      <w:r>
        <w:rPr>
          <w:rFonts w:ascii="Arial" w:eastAsia="Arial" w:hAnsi="Arial" w:cs="Arial"/>
        </w:rPr>
        <w:t xml:space="preserve"> </w:t>
      </w:r>
      <w:r>
        <w:t xml:space="preserve">Odměna a platební podmínky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5055"/>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15.1. Ceny uvedené ve smlouvě či v akceptované objednávce Odběratele jsou pevnými cenami včetně veškerých slev a příplatků.</w:t>
      </w:r>
      <w:r>
        <w:rPr>
          <w:rFonts w:ascii="Times New Roman" w:eastAsia="Times New Roman" w:hAnsi="Times New Roman" w:cs="Times New Roman"/>
          <w:sz w:val="20"/>
        </w:rPr>
        <w:t xml:space="preserve"> </w:t>
      </w:r>
    </w:p>
    <w:p w:rsidR="00697E92" w:rsidRDefault="00AE41AE">
      <w:pPr>
        <w:spacing w:after="4" w:line="249" w:lineRule="auto"/>
        <w:ind w:left="799" w:right="9" w:firstLine="0"/>
      </w:pPr>
      <w:r>
        <w:rPr>
          <w:sz w:val="17"/>
        </w:rPr>
        <w:t>K uvedeným cenám bude dopočtena daň z přidané hodnoty v zákonné výši platné k datu uskutečněného zdanitelného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15.2. Po uskutečnění dodávky/plnění se faktury zasílají – zvlášť podle jednotlivých objednávek – v papírové formě na korespondenční adresu Odběratele nebo elektronicky ve formátu </w:t>
      </w:r>
      <w:proofErr w:type="spellStart"/>
      <w:r>
        <w:t>pdf</w:t>
      </w:r>
      <w:proofErr w:type="spellEnd"/>
      <w:r>
        <w:t xml:space="preserve"> (velikost tohoto souboru nesmí přesáhnout 10 MB) na email, v souladu s příslušnými ustanoveními zákona č. 235/2004 Sb., o dani z přidané 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Energie, a.s.</w:t>
      </w:r>
      <w:r>
        <w:t xml:space="preserve">: E.ON Energie Faktury, P. O. Box 01, Sazečská 9, 225 01 Praha; </w:t>
      </w:r>
      <w:r>
        <w:rPr>
          <w:color w:val="0563C1"/>
          <w:u w:val="single" w:color="0563C1"/>
        </w:rPr>
        <w:t>fakturyeon.energie@eon.cz</w:t>
      </w:r>
      <w:r>
        <w:t>;</w:t>
      </w:r>
      <w:r>
        <w:rPr>
          <w:color w:val="0563C1"/>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Česká republika, s.r.o.</w:t>
      </w:r>
      <w:r>
        <w:t xml:space="preserve">: E.ON Česká republika Faktury, P. O. Box 03, Sazečská 9, 225 03 Praha; </w:t>
      </w:r>
      <w:r>
        <w:rPr>
          <w:color w:val="0563C1"/>
          <w:u w:val="single" w:color="0563C1"/>
        </w:rPr>
        <w:t>faktury-eon.ceska.republika@eon.cz</w:t>
      </w:r>
      <w:r>
        <w:rPr>
          <w:u w:val="single" w:color="0563C1"/>
        </w:rPr>
        <w:t>;</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Jihočeská plynárenská, a.s.</w:t>
      </w:r>
      <w:r>
        <w:t>: Jihočeská plynárenská Faktury, P. O. Box 11, Sazečská 9, 225 11 Praha;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Distribuce, a.s.</w:t>
      </w:r>
      <w:r>
        <w:t xml:space="preserve">: E.ON Distribuce Faktury, P. O. Box 13, Sazečská 9, 225 13 Praha, </w:t>
      </w:r>
      <w:r>
        <w:rPr>
          <w:color w:val="0563C1"/>
          <w:u w:val="single" w:color="0563C1"/>
        </w:rPr>
        <w:t>fakturyeon.distribuce@eon.cz</w:t>
      </w:r>
      <w:r>
        <w:t>;</w:t>
      </w:r>
      <w:r>
        <w:rPr>
          <w:color w:val="0563C1"/>
        </w:rPr>
        <w:t xml:space="preserve"> </w:t>
      </w:r>
    </w:p>
    <w:p w:rsidR="00697E92" w:rsidRDefault="00AE41AE">
      <w:pPr>
        <w:ind w:left="799" w:right="655" w:hanging="794"/>
      </w:pPr>
      <w:r>
        <w:rPr>
          <w:rFonts w:ascii="Times New Roman" w:eastAsia="Times New Roman" w:hAnsi="Times New Roman" w:cs="Times New Roman"/>
          <w:sz w:val="20"/>
        </w:rPr>
        <w:t xml:space="preserve"> </w:t>
      </w:r>
      <w:r>
        <w:t xml:space="preserve">v případě, že je Odběratelem </w:t>
      </w:r>
      <w:r>
        <w:rPr>
          <w:b/>
        </w:rPr>
        <w:t xml:space="preserve">E.ON </w:t>
      </w:r>
      <w:proofErr w:type="spellStart"/>
      <w:r>
        <w:rPr>
          <w:b/>
        </w:rPr>
        <w:t>Telco</w:t>
      </w:r>
      <w:proofErr w:type="spellEnd"/>
      <w:r>
        <w:rPr>
          <w:b/>
        </w:rPr>
        <w:t>, s.r.o.</w:t>
      </w:r>
      <w:r>
        <w:t xml:space="preserve">: E.ON </w:t>
      </w:r>
      <w:proofErr w:type="spellStart"/>
      <w:r>
        <w:t>Telco</w:t>
      </w:r>
      <w:proofErr w:type="spellEnd"/>
      <w:r>
        <w:t xml:space="preserve"> Faktury, P. O. Box 73, Sazečská 9, 225 73 Praha, </w:t>
      </w:r>
      <w:r>
        <w:rPr>
          <w:color w:val="0563C1"/>
          <w:u w:val="single" w:color="0563C1"/>
        </w:rPr>
        <w:t>fakturytelco@eon.cz</w:t>
      </w:r>
      <w:r>
        <w:rPr>
          <w:rFonts w:ascii="Times New Roman" w:eastAsia="Times New Roman" w:hAnsi="Times New Roman" w:cs="Times New Roman"/>
          <w:sz w:val="20"/>
        </w:rPr>
        <w:t xml:space="preserve"> </w:t>
      </w:r>
    </w:p>
    <w:p w:rsidR="00697E92" w:rsidRDefault="00AE41AE">
      <w:pPr>
        <w:ind w:left="799" w:right="7042" w:hanging="794"/>
      </w:pPr>
      <w:r>
        <w:rPr>
          <w:rFonts w:ascii="Times New Roman" w:eastAsia="Times New Roman" w:hAnsi="Times New Roman" w:cs="Times New Roman"/>
          <w:sz w:val="20"/>
        </w:rPr>
        <w:t xml:space="preserve"> </w:t>
      </w:r>
      <w:r>
        <w:t>nestanoví-li Odběratel jinak.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4"/>
        </w:numPr>
        <w:spacing w:after="4" w:line="249" w:lineRule="auto"/>
        <w:ind w:left="896" w:right="10" w:hanging="94"/>
      </w:pPr>
      <w:r>
        <w:rPr>
          <w:sz w:val="17"/>
        </w:rPr>
        <w:t xml:space="preserve">je-li celková cena plnění sjednaná smlouvou (bez DPH) nižší či rovna 275 tis. CZK, činí splatnost 30 dnů od data jejího doručení. </w:t>
      </w:r>
    </w:p>
    <w:p w:rsidR="00697E92" w:rsidRDefault="00AE41AE">
      <w:pPr>
        <w:spacing w:after="0" w:line="259" w:lineRule="auto"/>
        <w:ind w:left="5" w:firstLine="0"/>
        <w:jc w:val="left"/>
      </w:pPr>
      <w:r>
        <w:rPr>
          <w:sz w:val="17"/>
        </w:rPr>
        <w:t xml:space="preserve"> </w:t>
      </w:r>
    </w:p>
    <w:p w:rsidR="00697E92" w:rsidRDefault="00AE41AE">
      <w:pPr>
        <w:numPr>
          <w:ilvl w:val="0"/>
          <w:numId w:val="4"/>
        </w:numPr>
        <w:ind w:left="896" w:right="10" w:hanging="94"/>
      </w:pPr>
      <w:r>
        <w:t xml:space="preserve">je-li celková cena plnění sjednaná smlouvou (bez DPH) vyšší než 275 tis. CZK, činí splatnost faktury 60 dnů od data jejího doručení.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Datum uskutečněného zdanitelného plnění uvedené na faktuře musí být stanoveno v souladu se zákonem o dani z přidané 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numPr>
          <w:ilvl w:val="1"/>
          <w:numId w:val="5"/>
        </w:numPr>
        <w:ind w:right="11" w:hanging="441"/>
      </w:pPr>
      <w:r>
        <w:t>Dodavatel je odpovědný za veškeré důsledky vyplývající z nedodržení povinností uvedených v článcích 15.1. až 15.5.</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 xml:space="preserve">Dodavatel v případě, že je plátcem DPH </w:t>
      </w:r>
      <w:r>
        <w:rPr>
          <w:b/>
        </w:rPr>
        <w:t>a že jím poskytnuté zdanitelné plnění nepodléhá režimu přenesení daňové</w:t>
      </w:r>
      <w:r>
        <w:t xml:space="preserve"> </w:t>
      </w:r>
      <w:r>
        <w:rPr>
          <w:b/>
        </w:rPr>
        <w:t xml:space="preserve">povinnosti, </w:t>
      </w:r>
      <w:r>
        <w:t>se jako poskytovatel tohoto plnění zavazuje, že povinnosti plynoucí mu ze zákona č. 235/2004 Sb., o dani z přidané</w:t>
      </w:r>
      <w:r>
        <w:rPr>
          <w:b/>
        </w:rPr>
        <w:t xml:space="preserve"> </w:t>
      </w:r>
      <w: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r>
        <w:rPr>
          <w:rFonts w:ascii="Times New Roman" w:eastAsia="Times New Roman" w:hAnsi="Times New Roman" w:cs="Times New Roman"/>
          <w:sz w:val="20"/>
        </w:rPr>
        <w:t xml:space="preserve"> </w:t>
      </w:r>
    </w:p>
    <w:p w:rsidR="00697E92" w:rsidRDefault="00AE41AE">
      <w:pPr>
        <w:numPr>
          <w:ilvl w:val="1"/>
          <w:numId w:val="5"/>
        </w:numPr>
        <w:ind w:right="11" w:hanging="441"/>
      </w:pPr>
      <w: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spacing w:after="141"/>
        <w:ind w:right="11" w:hanging="441"/>
      </w:pPr>
      <w:r>
        <w:t>Platby společnosti E.ON se nepovažují za potvrzení, schválení plnění, ani vzdání se oznámení vady.</w:t>
      </w:r>
      <w:r>
        <w:rPr>
          <w:rFonts w:ascii="Times New Roman" w:eastAsia="Times New Roman" w:hAnsi="Times New Roman" w:cs="Times New Roman"/>
          <w:sz w:val="20"/>
        </w:rPr>
        <w:t xml:space="preserve"> </w:t>
      </w:r>
    </w:p>
    <w:p w:rsidR="00697E92" w:rsidRDefault="00AE41AE">
      <w:pPr>
        <w:spacing w:after="3"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16.</w:t>
      </w:r>
      <w:r>
        <w:rPr>
          <w:rFonts w:ascii="Arial" w:eastAsia="Arial" w:hAnsi="Arial" w:cs="Arial"/>
        </w:rPr>
        <w:t xml:space="preserve"> </w:t>
      </w:r>
      <w:r>
        <w:t xml:space="preserve">Poddodavatelé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16.4</w:t>
      </w:r>
      <w:r>
        <w:rPr>
          <w:rFonts w:ascii="Arial" w:eastAsia="Arial" w:hAnsi="Arial" w:cs="Arial"/>
        </w:rPr>
        <w:t>.</w:t>
      </w:r>
      <w: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17.</w:t>
      </w:r>
      <w:r>
        <w:rPr>
          <w:rFonts w:ascii="Arial" w:eastAsia="Arial" w:hAnsi="Arial" w:cs="Arial"/>
        </w:rPr>
        <w:t xml:space="preserve"> </w:t>
      </w:r>
      <w:r>
        <w:t xml:space="preserve">Pojištění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4"/>
        <w:ind w:left="372" w:right="11"/>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pStyle w:val="Nadpis1"/>
        <w:ind w:left="15"/>
      </w:pPr>
      <w:r>
        <w:t>18.</w:t>
      </w:r>
      <w:r>
        <w:rPr>
          <w:rFonts w:ascii="Arial" w:eastAsia="Arial" w:hAnsi="Arial" w:cs="Arial"/>
        </w:rPr>
        <w:t xml:space="preserve"> </w:t>
      </w:r>
      <w:r>
        <w:t xml:space="preserve">Postoupení práv a povinností, Zadržovací právo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18.2. Poskytovatel je oprávněn postoupit nebo jinak převést jakékoli své právo či povinnost ze smlouvy pouze na základě předchozího písemného souhlasu Odběratele. Bez udělení tohoto souhlasu je postoupení práva či povinnosti absolutně neplatné.</w:t>
      </w:r>
      <w:r>
        <w:rPr>
          <w:rFonts w:ascii="Times New Roman" w:eastAsia="Times New Roman" w:hAnsi="Times New Roman" w:cs="Times New Roman"/>
          <w:sz w:val="20"/>
        </w:rPr>
        <w:t xml:space="preserve"> </w:t>
      </w:r>
    </w:p>
    <w:p w:rsidR="00697E92" w:rsidRDefault="00AE41AE">
      <w:pPr>
        <w:pStyle w:val="Nadpis1"/>
        <w:ind w:left="15"/>
      </w:pPr>
      <w:r>
        <w:t>19.</w:t>
      </w:r>
      <w:r>
        <w:rPr>
          <w:rFonts w:ascii="Arial" w:eastAsia="Arial" w:hAnsi="Arial" w:cs="Arial"/>
        </w:rPr>
        <w:t xml:space="preserve"> </w:t>
      </w:r>
      <w:r>
        <w:t xml:space="preserve">Doba trvání a ukončení platnosti Smlouvy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 xml:space="preserve">19.1. Doba trvání Smlouvy a veškerá ustanovení týkající se řádného ukončení platnosti Smlouvy jsou upraveny v příslušné Smlouvě </w:t>
      </w:r>
    </w:p>
    <w:p w:rsidR="00697E92" w:rsidRDefault="00AE41AE">
      <w:pPr>
        <w:ind w:left="824" w:right="11"/>
      </w:pPr>
      <w:r>
        <w:t>či objednávce.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19.2. 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6"/>
        </w:numPr>
        <w:ind w:left="1461" w:right="11" w:hanging="362"/>
      </w:pPr>
      <w:r>
        <w:t xml:space="preserve">Poskytovatel je více jak 30 kalendářních dní v prodlení s plněním jakéhokoli termínu realizace předmětu plnění smlouvy.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v souvislosti s realizací předmětu plnění smlouvy poruší předepsaný technologický postup či veřejnoprávní předpis.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v souvislosti s realizací předmětu plnění smlouvy poruší svoji povinnost v oblasti bezpečnosti a ochrany zdraví při práci.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Plnění podle Smlouvy nelze převzít z důvodů na straně Poskytovatele.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nesplní své povinnosti stanovené v článku 23 v přiměřené lhůtě nebo úmyslně či z hrubé nedbalosti poruší ustanovení o ochraně údajů.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23" w:right="11"/>
      </w:pPr>
      <w:r>
        <w:t>Za podstatné porušení smluvní povinnosti Odběratelem se považuje zejména prodlení Odběratele s placením ceny plnění poskytovaného na základě smlouvy či jakékoli části této ceny trvající déle než 30 kalendářních dní.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7"/>
        </w:numPr>
        <w:ind w:right="11" w:hanging="360"/>
      </w:pPr>
      <w:r>
        <w:t xml:space="preserve">tak, jak je stanoví zák.č.89/2012 Sb., občanského zákoníku, zejména ve svém ustanovení § 2001 a násl., nebo zda </w:t>
      </w:r>
    </w:p>
    <w:p w:rsidR="00697E92" w:rsidRDefault="00AE41AE">
      <w:pPr>
        <w:spacing w:after="0" w:line="259" w:lineRule="auto"/>
        <w:ind w:left="5" w:firstLine="0"/>
        <w:jc w:val="left"/>
      </w:pPr>
      <w:r>
        <w:t xml:space="preserve"> </w:t>
      </w:r>
    </w:p>
    <w:p w:rsidR="00697E92" w:rsidRDefault="00AE41AE">
      <w:pPr>
        <w:numPr>
          <w:ilvl w:val="0"/>
          <w:numId w:val="7"/>
        </w:numPr>
        <w:ind w:right="11" w:hanging="360"/>
      </w:pPr>
      <w:r>
        <w:t xml:space="preserve">bude Poskytovatel po obdržení oznámení o odstoupení povinen buď okamžitě, nebo k datu stanovenému v oznámení o odstoupení splnit povinnosti uvedené v odstavci 19.5. těchto VNP.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19.5. V případě, že Odběratel v rámci odstoupení od smlouvy zvolí variantu uvedenou v odstavci 19.4. těchto VNP pod písmenem b), bude Poskytovatel povinen: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8"/>
        </w:numPr>
        <w:ind w:right="11" w:hanging="358"/>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 xml:space="preserve">předat Odběrateli všechny části předmětu plnění smlouvy realizované Poskytovatelem do data odstoupení, </w:t>
      </w:r>
    </w:p>
    <w:p w:rsidR="00697E92" w:rsidRDefault="00AE41AE">
      <w:pPr>
        <w:spacing w:after="0" w:line="259" w:lineRule="auto"/>
        <w:ind w:left="5" w:firstLine="0"/>
        <w:jc w:val="left"/>
      </w:pPr>
      <w:r>
        <w:t xml:space="preserve"> </w:t>
      </w:r>
    </w:p>
    <w:p w:rsidR="00697E92" w:rsidRDefault="00AE41AE">
      <w:pPr>
        <w:numPr>
          <w:ilvl w:val="0"/>
          <w:numId w:val="8"/>
        </w:numPr>
        <w:spacing w:after="4" w:line="249" w:lineRule="auto"/>
        <w:ind w:right="11" w:hanging="358"/>
      </w:pPr>
      <w:r>
        <w:rPr>
          <w:sz w:val="17"/>
        </w:rPr>
        <w:t xml:space="preserve">ukončit všechny smlouvy s poddodavateli, kromě těch, které mají být Odběrateli postoupeny podle písmene d) níže, </w:t>
      </w:r>
    </w:p>
    <w:p w:rsidR="00697E92" w:rsidRDefault="00AE41AE">
      <w:pPr>
        <w:spacing w:after="0" w:line="259" w:lineRule="auto"/>
        <w:ind w:left="5" w:firstLine="0"/>
        <w:jc w:val="left"/>
      </w:pPr>
      <w:r>
        <w:rPr>
          <w:sz w:val="17"/>
        </w:rPr>
        <w:t xml:space="preserve"> </w:t>
      </w:r>
    </w:p>
    <w:p w:rsidR="00697E92" w:rsidRDefault="00AE41AE">
      <w:pPr>
        <w:numPr>
          <w:ilvl w:val="0"/>
          <w:numId w:val="8"/>
        </w:numPr>
        <w:ind w:right="11" w:hanging="358"/>
      </w:pPr>
      <w:r>
        <w:t xml:space="preserve">postoupit Odběrateli všechna práva, výhody a zisky Poskytovatele související s předmětem plnění smlouvy a s věcmi tvořícími předmět plnění smlouvy k datu odstoupení, a dále pokud o to Odběratel v oznámení o odstoupení požádá, </w:t>
      </w:r>
      <w:r>
        <w:lastRenderedPageBreak/>
        <w:t xml:space="preserve">postoupit odběrateli všechna práva z Odběratelem určených smluv uzavřených mezi Poskytovatelem a jeho poddodavateli v souvislosti s plněním smlouvy,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 xml:space="preserve">dodat Odběrateli veškerou dokumentaci, výkresy, specifikace a ostatní dokumentaci vypracovanou </w:t>
      </w:r>
    </w:p>
    <w:p w:rsidR="00697E92" w:rsidRDefault="00AE41AE">
      <w:pPr>
        <w:ind w:left="1544" w:right="11"/>
      </w:pPr>
      <w:r>
        <w:t xml:space="preserve">Poskytovatelem a jeho poddodavateli v souvislosti s předmětem plnění smlouvy k datu odstoupení.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Odstoupí-li jedna ze smluvních stran jakýmkoli způsobem a z jakéhokoli důvodu od smlouvy, je Poskytovatel povinen bezodkladně vyklidit staveniště a předat je Odběrateli a vydat mu všechny podklady nutné pro pokračování prací či jiných výkonů.</w:t>
      </w: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9"/>
        </w:numPr>
        <w:spacing w:after="98"/>
        <w:ind w:left="864" w:right="11" w:hanging="497"/>
      </w:pPr>
      <w:r>
        <w:t>Ustanovení článku 26 tím zůstávají 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20. Povinnosti po skončení účinnosti Smlouvy</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5"/>
        <w:ind w:left="804" w:right="11" w:hanging="437"/>
      </w:pPr>
      <w:r>
        <w:t xml:space="preserve">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w:t>
      </w:r>
    </w:p>
    <w:p w:rsidR="00697E92" w:rsidRDefault="00AE41AE">
      <w:pPr>
        <w:spacing w:after="125"/>
        <w:ind w:left="804" w:right="11" w:hanging="437"/>
      </w:pPr>
      <w:r>
        <w:t>závislosti na požadovaném úsilí a v souladu s nejnovějšími pravidly dohodnutými mezi Smluvními stranami. Pokud za příslušné potřebné služby žádná odměna dohodnuta nebyla, uplatní se odměna v přiměřené výši.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21.</w:t>
      </w:r>
      <w:r>
        <w:rPr>
          <w:rFonts w:ascii="Arial" w:eastAsia="Arial" w:hAnsi="Arial" w:cs="Arial"/>
        </w:rPr>
        <w:t xml:space="preserve"> </w:t>
      </w:r>
      <w:r>
        <w:t xml:space="preserve">Důvěrná povaha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21.1. Dodavatel je povinen nakládat s veškerými informacemi, které mu společnost E.ON v souvislosti se Smlouvou poskytne, jako </w:t>
      </w:r>
    </w:p>
    <w:p w:rsidR="00697E92" w:rsidRDefault="00AE41AE">
      <w:pPr>
        <w:ind w:left="804" w:right="11"/>
      </w:pPr>
      <w:r>
        <w:t>se zcela důvěrnými (dále jen „Důvěrné informace“) a použije je výhradně za účelem plnění Smlouvy.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w:t>
      </w:r>
      <w:r>
        <w:lastRenderedPageBreak/>
        <w:t>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spacing w:after="70"/>
        <w:ind w:right="11" w:firstLine="727"/>
      </w:pPr>
      <w:r>
        <w:t xml:space="preserve">jakékoli údaje identifikující zákazníka jako fyzickou či právnickou osobu, jako jsou např. jméno a příjmení či obchodní </w:t>
      </w:r>
      <w:r>
        <w:rPr>
          <w:rFonts w:ascii="Times New Roman" w:eastAsia="Times New Roman" w:hAnsi="Times New Roman" w:cs="Times New Roman"/>
        </w:rPr>
        <w:t xml:space="preserve"> </w:t>
      </w:r>
      <w:r>
        <w:rPr>
          <w:rFonts w:ascii="Times New Roman" w:eastAsia="Times New Roman" w:hAnsi="Times New Roman" w:cs="Times New Roman"/>
        </w:rPr>
        <w:tab/>
      </w:r>
      <w:r>
        <w:t>firma, datum narození, rodné číslo či IČ, adresa bydliště či sídla</w:t>
      </w:r>
      <w:r>
        <w:rPr>
          <w:rFonts w:ascii="Times New Roman" w:eastAsia="Times New Roman" w:hAnsi="Times New Roman" w:cs="Times New Roman"/>
        </w:rPr>
        <w:t xml:space="preserve"> </w:t>
      </w:r>
    </w:p>
    <w:p w:rsidR="00697E92" w:rsidRDefault="00AE41AE">
      <w:pPr>
        <w:numPr>
          <w:ilvl w:val="0"/>
          <w:numId w:val="10"/>
        </w:numPr>
        <w:ind w:right="11" w:firstLine="727"/>
      </w:pPr>
      <w:r>
        <w:t xml:space="preserve">údaje o odběrném místě zákazníka, údaje o historii spotřeby zákazníka, údaje o odběrovém diagramu odběrného místa </w:t>
      </w:r>
      <w:r>
        <w:rPr>
          <w:rFonts w:ascii="Times New Roman" w:eastAsia="Times New Roman" w:hAnsi="Times New Roman" w:cs="Times New Roman"/>
          <w:sz w:val="28"/>
          <w:vertAlign w:val="subscript"/>
        </w:rPr>
        <w:t xml:space="preserve"> </w:t>
      </w:r>
      <w:r>
        <w:rPr>
          <w:rFonts w:ascii="Times New Roman" w:eastAsia="Times New Roman" w:hAnsi="Times New Roman" w:cs="Times New Roman"/>
          <w:sz w:val="28"/>
          <w:vertAlign w:val="subscript"/>
        </w:rPr>
        <w:tab/>
      </w:r>
      <w:r>
        <w:t>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 o tom, kdo je dodavatelem 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údaje o platebních či jiných schopnostech zákazníka.</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ind w:right="11" w:firstLine="727"/>
      </w:pPr>
      <w:r>
        <w:t>údaje o kritické infrastruktuře správce E.ON Distribuce, a.s., ve smyslu zák. č. 240/2000 Sb., (krizový zákon),</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 xml:space="preserve">údaje o kritické informační infrastruktuře správce E.ON Distribuce, a.s., ve smyslu zák. č. 181/2014 Sb., (zákon o </w:t>
      </w:r>
    </w:p>
    <w:p w:rsidR="00697E92" w:rsidRDefault="00AE41AE">
      <w:pPr>
        <w:ind w:left="1085" w:right="11"/>
      </w:pPr>
      <w:r>
        <w:t>kybernetické bezpečnosti),</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informačních a komunikačních systémech zajišťujících provoz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fyzickém zabezpečení objektů a prvků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Pokud Důvěrné informace obsahují osobní údaje, použijí se přednostně ustanovení článku 23.</w:t>
      </w:r>
      <w:r>
        <w:rPr>
          <w:rFonts w:ascii="Times New Roman" w:eastAsia="Times New Roman" w:hAnsi="Times New Roman" w:cs="Times New Roman"/>
          <w:sz w:val="20"/>
        </w:rPr>
        <w:t xml:space="preserve"> </w:t>
      </w:r>
    </w:p>
    <w:p w:rsidR="00697E92" w:rsidRDefault="00AE41AE">
      <w:pPr>
        <w:numPr>
          <w:ilvl w:val="1"/>
          <w:numId w:val="11"/>
        </w:numPr>
        <w:ind w:right="11" w:hanging="408"/>
      </w:pPr>
      <w:r>
        <w:t>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 xml:space="preserve">Veškeré informace poskytnuté společností E.ON zůstanou vlastnictvím společnosti E.ON. Totéž platí i pro všechny kopie, a to </w:t>
      </w:r>
    </w:p>
    <w:p w:rsidR="00697E92" w:rsidRDefault="00AE41AE">
      <w:pPr>
        <w:ind w:left="804" w:right="11"/>
      </w:pPr>
      <w:r>
        <w:t>i v případě, že je vyhotovil Dodavatel. Dodavatel nemá právo uchovávat informace, kopie nebo elektronické nosiče dat.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21.6. Dodavatel je povinen bez zbytečného odkladu informovat společnost E.ON při všech náznacích porušení jakýchkoli podmínek tohoto článku 21.</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21.7. Povinnosti vyplývající z tohoto článku 21 nejsou ukončením Smlouvy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65" w:lineRule="auto"/>
        <w:ind w:left="15" w:hanging="10"/>
        <w:jc w:val="left"/>
      </w:pPr>
      <w:r>
        <w:rPr>
          <w:b/>
        </w:rPr>
        <w:t>22.</w:t>
      </w:r>
      <w:r>
        <w:rPr>
          <w:rFonts w:ascii="Arial" w:eastAsia="Arial" w:hAnsi="Arial" w:cs="Arial"/>
          <w:b/>
        </w:rPr>
        <w:t xml:space="preserve"> </w:t>
      </w:r>
      <w:r>
        <w:rPr>
          <w:b/>
        </w:rPr>
        <w:t xml:space="preserve">Povinnosti Poskytovatele v souvislosti se zák. č. 458/2000 Sb.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t>ust</w:t>
      </w:r>
      <w:proofErr w:type="spellEnd"/>
      <w:r>
        <w:t>. § 25a a § 59a tohoto zákona).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23.</w:t>
      </w:r>
      <w:r>
        <w:rPr>
          <w:rFonts w:ascii="Arial" w:eastAsia="Arial" w:hAnsi="Arial" w:cs="Arial"/>
        </w:rPr>
        <w:t xml:space="preserve"> </w:t>
      </w:r>
      <w:r>
        <w:t xml:space="preserve">Ochrana údajů, Zadávání zakázek v celé skupině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hyperlink r:id="rId12">
        <w:r>
          <w:t xml:space="preserve">: </w:t>
        </w:r>
      </w:hyperlink>
      <w:hyperlink r:id="rId13">
        <w:r>
          <w:rPr>
            <w:color w:val="0563C1"/>
            <w:u w:val="single" w:color="0563C1"/>
          </w:rPr>
          <w:t>http://www.eon.cz/o</w:t>
        </w:r>
      </w:hyperlink>
      <w:hyperlink r:id="rId14">
        <w:r>
          <w:rPr>
            <w:color w:val="0563C1"/>
            <w:u w:val="single" w:color="0563C1"/>
          </w:rPr>
          <w:t>-</w:t>
        </w:r>
      </w:hyperlink>
      <w:hyperlink r:id="rId15">
        <w:r>
          <w:rPr>
            <w:color w:val="0563C1"/>
            <w:u w:val="single" w:color="0563C1"/>
          </w:rPr>
          <w:t>nas/o</w:t>
        </w:r>
      </w:hyperlink>
      <w:hyperlink r:id="rId16">
        <w:r>
          <w:rPr>
            <w:color w:val="0563C1"/>
            <w:u w:val="single" w:color="0563C1"/>
          </w:rPr>
          <w:t>-skupine</w:t>
        </w:r>
      </w:hyperlink>
      <w:hyperlink r:id="rId17">
        <w:r>
          <w:rPr>
            <w:color w:val="0563C1"/>
            <w:u w:val="single" w:color="0563C1"/>
          </w:rPr>
          <w:t>eon/pr</w:t>
        </w:r>
      </w:hyperlink>
      <w:hyperlink r:id="rId18">
        <w:r>
          <w:rPr>
            <w:color w:val="0563C1"/>
            <w:u w:val="single" w:color="0563C1"/>
          </w:rPr>
          <w:t>o-</w:t>
        </w:r>
      </w:hyperlink>
      <w:hyperlink r:id="rId19">
        <w:r>
          <w:rPr>
            <w:color w:val="0563C1"/>
            <w:u w:val="single" w:color="0563C1"/>
          </w:rPr>
          <w:t>partnery/vseobecne</w:t>
        </w:r>
      </w:hyperlink>
      <w:hyperlink r:id="rId20">
        <w:r>
          <w:rPr>
            <w:color w:val="0563C1"/>
            <w:u w:val="single" w:color="0563C1"/>
          </w:rPr>
          <w:t>-nakupni-podminky</w:t>
        </w:r>
      </w:hyperlink>
      <w:hyperlink r:id="rId21">
        <w:r>
          <w:rPr>
            <w:color w:val="0563C1"/>
          </w:rPr>
          <w:t xml:space="preserve"> </w:t>
        </w:r>
      </w:hyperlink>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763" w:right="11"/>
      </w:pPr>
      <w:r>
        <w:t>Jste-li naším smluvním partnerem a například jako osoba samostatně výdělečně činná spadáte pod ochranný účel zákona o ochraně osobních údajů, tyto informace o nakládání s vašimi osobními údaji se týkají i vás.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1"/>
        <w:ind w:left="806" w:right="11" w:hanging="439"/>
      </w:pPr>
      <w:r>
        <w:t>23.5. Pokud a v té míře, v níž při plnění svých smluvních závazků Dodavatel zpracovává pro společnost E.ON osobní údaje, které mu společnost E.ON předala nebo svěřila</w:t>
      </w:r>
      <w:r>
        <w:rPr>
          <w:rFonts w:ascii="Times New Roman" w:eastAsia="Times New Roman" w:hAnsi="Times New Roman" w:cs="Times New Roman"/>
          <w:sz w:val="20"/>
        </w:rPr>
        <w:t xml:space="preserve"> </w:t>
      </w:r>
    </w:p>
    <w:p w:rsidR="00697E92" w:rsidRDefault="00AE41AE">
      <w:pPr>
        <w:spacing w:after="22"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1249"/>
          <w:tab w:val="center" w:pos="3305"/>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zpracování jménem společnosti E.ON,</w:t>
      </w:r>
      <w:r>
        <w:rPr>
          <w:rFonts w:ascii="Segoe UI Symbol" w:eastAsia="Segoe UI Symbol" w:hAnsi="Segoe UI Symbol" w:cs="Segoe UI Symbol"/>
        </w:rPr>
        <w:t xml:space="preserve"> </w:t>
      </w:r>
    </w:p>
    <w:p w:rsidR="00697E92" w:rsidRDefault="00AE41AE">
      <w:pPr>
        <w:spacing w:after="10"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2973"/>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nezávislého zpracování nebo</w:t>
      </w:r>
      <w:r>
        <w:rPr>
          <w:rFonts w:ascii="Segoe UI Symbol" w:eastAsia="Segoe UI Symbol" w:hAnsi="Segoe UI Symbol" w:cs="Segoe UI Symbol"/>
        </w:rPr>
        <w:t xml:space="preserve"> </w:t>
      </w:r>
    </w:p>
    <w:p w:rsidR="00697E92" w:rsidRDefault="00AE41AE">
      <w:pPr>
        <w:spacing w:after="13"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3823"/>
        </w:tabs>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 titulu společné odpovědnosti Dodavatele a společnosti E.ON,</w:t>
      </w:r>
      <w:r>
        <w:rPr>
          <w:rFonts w:ascii="Segoe UI Symbol" w:eastAsia="Segoe UI Symbol" w:hAnsi="Segoe UI Symbol" w:cs="Segoe UI Symbol"/>
        </w:rPr>
        <w:t xml:space="preserve"> </w:t>
      </w:r>
    </w:p>
    <w:p w:rsidR="00697E92" w:rsidRDefault="00AE41AE">
      <w:pPr>
        <w:spacing w:after="7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1"/>
        <w:ind w:left="804" w:right="11"/>
      </w:pPr>
      <w:r>
        <w:t>použijí se ustanovení přílohy „Požadavky na bezpečnost informací a Technická a organizační opatření k ochraně údajů“ příslušné objednávky a ustanovení souvisejících dodatků.</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2"/>
        </w:rPr>
        <w:t xml:space="preserve"> </w:t>
      </w:r>
    </w:p>
    <w:p w:rsidR="00697E92" w:rsidRDefault="00AE41AE">
      <w:pPr>
        <w:ind w:left="806" w:right="11" w:hanging="439"/>
      </w:pPr>
      <w:r>
        <w:t>23.6. Konzultační služby podléhají podmínkám dokumentu „</w:t>
      </w:r>
      <w:hyperlink r:id="rId22">
        <w:r>
          <w:rPr>
            <w:color w:val="0563C1"/>
            <w:u w:val="single" w:color="0563C1"/>
          </w:rPr>
          <w:t>Informační bezpečnost a</w:t>
        </w:r>
      </w:hyperlink>
      <w:hyperlink r:id="rId23">
        <w:r>
          <w:rPr>
            <w:color w:val="0563C1"/>
            <w:u w:val="single" w:color="0563C1"/>
          </w:rPr>
          <w:t xml:space="preserve"> </w:t>
        </w:r>
      </w:hyperlink>
      <w:hyperlink r:id="rId24">
        <w:r>
          <w:rPr>
            <w:color w:val="0563C1"/>
            <w:u w:val="single" w:color="0563C1"/>
          </w:rPr>
          <w:t xml:space="preserve">požadavky na ochranu dat pro </w:t>
        </w:r>
      </w:hyperlink>
      <w:hyperlink r:id="rId25">
        <w:r>
          <w:rPr>
            <w:color w:val="0563C1"/>
            <w:u w:val="single" w:color="0563C1"/>
          </w:rPr>
          <w:t>konzultantské</w:t>
        </w:r>
      </w:hyperlink>
      <w:hyperlink r:id="rId26">
        <w:r>
          <w:rPr>
            <w:color w:val="0563C1"/>
          </w:rPr>
          <w:t xml:space="preserve"> </w:t>
        </w:r>
      </w:hyperlink>
      <w:hyperlink r:id="rId27">
        <w:r>
          <w:rPr>
            <w:color w:val="0563C1"/>
            <w:u w:val="single" w:color="0563C1"/>
          </w:rPr>
          <w:t>služby</w:t>
        </w:r>
      </w:hyperlink>
      <w:hyperlink r:id="rId28">
        <w:r>
          <w:t>“</w:t>
        </w:r>
      </w:hyperlink>
      <w:r>
        <w:t>.</w:t>
      </w:r>
    </w:p>
    <w:p w:rsidR="00697E92" w:rsidRDefault="00AE41AE">
      <w:pPr>
        <w:pStyle w:val="Nadpis1"/>
        <w:ind w:left="15"/>
      </w:pPr>
      <w:r>
        <w:t>24.</w:t>
      </w:r>
      <w:r>
        <w:rPr>
          <w:rFonts w:ascii="Arial" w:eastAsia="Arial" w:hAnsi="Arial" w:cs="Arial"/>
        </w:rPr>
        <w:t xml:space="preserve"> </w:t>
      </w:r>
      <w:r>
        <w:t xml:space="preserve">Bezpečnost informací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61"/>
      </w:pPr>
      <w: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25. Publikace, Reklama</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26. Brexit</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4"/>
        <w:ind w:left="372" w:right="11"/>
      </w:pPr>
      <w: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27.</w:t>
      </w:r>
      <w:r>
        <w:rPr>
          <w:rFonts w:ascii="Arial" w:eastAsia="Arial" w:hAnsi="Arial" w:cs="Arial"/>
        </w:rPr>
        <w:t xml:space="preserve"> </w:t>
      </w:r>
      <w:r>
        <w:t xml:space="preserve">Příslušnost soudu, Jazyk smlouvy, Rozhodné právo, Svátky, Písemná podoba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27.2. Rozhodným právem je právo České republiky, s vyloučením Úmluvy Organizace spojených národů o smlouvách o mezinárodní </w:t>
      </w:r>
    </w:p>
    <w:p w:rsidR="00697E92" w:rsidRDefault="00AE41AE">
      <w:pPr>
        <w:ind w:left="804" w:right="11"/>
      </w:pPr>
      <w:r>
        <w:t>koupi zboží ze dne 11. dubna 1980.</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27.3. Jazykem smlouvy je čeština. V souladu s tím také platí VNP výhradně v jazyce smlouvy. Na jiné překlady nebude při výkladu brán zřetel.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27.4. Svátky uvedené ve Smlouvě jsou výhradně odkazy na státní svátky České republiky.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27.5. 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 </w:t>
      </w:r>
    </w:p>
    <w:p w:rsidR="00697E92" w:rsidRDefault="00AE41AE">
      <w:pPr>
        <w:spacing w:after="0" w:line="259" w:lineRule="auto"/>
        <w:ind w:left="362" w:firstLine="0"/>
        <w:jc w:val="left"/>
      </w:pPr>
      <w:r>
        <w:rPr>
          <w:rFonts w:ascii="Times New Roman" w:eastAsia="Times New Roman" w:hAnsi="Times New Roman" w:cs="Times New Roman"/>
          <w:sz w:val="20"/>
        </w:rPr>
        <w:t xml:space="preserve"> </w:t>
      </w:r>
    </w:p>
    <w:p w:rsidR="00697E92" w:rsidRDefault="00AE41AE">
      <w:pPr>
        <w:ind w:left="804" w:right="11" w:hanging="437"/>
      </w:pPr>
      <w: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28. Ostatní ustanovení</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tabs>
          <w:tab w:val="right" w:pos="9902"/>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28.1. Poskytovatel tímto prohlašuje, že na sebe přebírá nebezpečí změny okolností po uzavření smlouvy ve smyslu ustanovení §§</w:t>
      </w:r>
      <w:r>
        <w:rPr>
          <w:rFonts w:ascii="Times New Roman" w:eastAsia="Times New Roman" w:hAnsi="Times New Roman" w:cs="Times New Roman"/>
          <w:sz w:val="20"/>
        </w:rPr>
        <w:t xml:space="preserve"> </w:t>
      </w:r>
    </w:p>
    <w:p w:rsidR="00697E92" w:rsidRDefault="00AE41AE">
      <w:pPr>
        <w:ind w:left="804" w:right="11"/>
      </w:pPr>
      <w:r>
        <w:t xml:space="preserve">1765 a 1766 </w:t>
      </w:r>
      <w:proofErr w:type="spellStart"/>
      <w:r>
        <w:t>zák.č</w:t>
      </w:r>
      <w:proofErr w:type="spellEnd"/>
      <w:r>
        <w:t>. 89/2012 Sb., občanského zákoníku.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28.2. Odběratel a Poskytovatel se dohodli, že ustanovení §§ 1799 a 1800 zák. č. 89/2012 Sb. občanského zákoníku se nepoužijí.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28.3. Poskytovatel není oprávněn započítat jakékoli své pohledávky vzniklé či budoucí na základě a v souvislosti s touto smlouvou bez předchozího písemného souhlasu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28.4. Čas plnění vznikajících na základě nebo v souvislosti s touto smlouvou je určen ve prospěch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28.7. Smlouvu lze změnit či doplňovat pouze formou písemných dodatků odsouhlasených oběma smluvními stranami.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r>
        <w:rPr>
          <w:rFonts w:ascii="Times New Roman" w:eastAsia="Times New Roman" w:hAnsi="Times New Roman" w:cs="Times New Roman"/>
          <w:sz w:val="20"/>
        </w:rPr>
        <w:t xml:space="preserve"> </w:t>
      </w:r>
    </w:p>
    <w:sectPr w:rsidR="00697E92">
      <w:headerReference w:type="even" r:id="rId29"/>
      <w:headerReference w:type="default" r:id="rId30"/>
      <w:headerReference w:type="first" r:id="rId31"/>
      <w:pgSz w:w="11899" w:h="16838"/>
      <w:pgMar w:top="753" w:right="996" w:bottom="909" w:left="1001" w:header="700"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5DAC" w:rsidRDefault="00275DAC">
      <w:pPr>
        <w:spacing w:after="0" w:line="240" w:lineRule="auto"/>
      </w:pPr>
      <w:r>
        <w:separator/>
      </w:r>
    </w:p>
  </w:endnote>
  <w:endnote w:type="continuationSeparator" w:id="0">
    <w:p w:rsidR="00275DAC" w:rsidRDefault="00275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5DAC" w:rsidRDefault="00275DAC">
      <w:pPr>
        <w:spacing w:after="0" w:line="240" w:lineRule="auto"/>
      </w:pPr>
      <w:r>
        <w:separator/>
      </w:r>
    </w:p>
  </w:footnote>
  <w:footnote w:type="continuationSeparator" w:id="0">
    <w:p w:rsidR="00275DAC" w:rsidRDefault="00275D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09" w:firstLine="0"/>
      <w:jc w:val="right"/>
    </w:pPr>
    <w:r>
      <w:rPr>
        <w:noProof/>
      </w:rPr>
      <w:drawing>
        <wp:anchor distT="0" distB="0" distL="114300" distR="114300" simplePos="0" relativeHeight="25165824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87"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09" w:firstLine="0"/>
      <w:jc w:val="right"/>
    </w:pPr>
    <w:r>
      <w:rPr>
        <w:noProof/>
      </w:rPr>
      <w:drawing>
        <wp:anchor distT="0" distB="0" distL="114300" distR="114300" simplePos="0" relativeHeight="251659264"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353" name="Picture 353"/>
          <wp:cNvGraphicFramePr/>
          <a:graphic xmlns:a="http://schemas.openxmlformats.org/drawingml/2006/main">
            <a:graphicData uri="http://schemas.openxmlformats.org/drawingml/2006/picture">
              <pic:pic xmlns:pic="http://schemas.openxmlformats.org/drawingml/2006/picture">
                <pic:nvPicPr>
                  <pic:cNvPr id="353" name="Picture 353"/>
                  <pic:cNvPicPr/>
                </pic:nvPicPr>
                <pic:blipFill>
                  <a:blip r:embed="rId1"/>
                  <a:stretch>
                    <a:fillRect/>
                  </a:stretch>
                </pic:blipFill>
                <pic:spPr>
                  <a:xfrm>
                    <a:off x="0" y="0"/>
                    <a:ext cx="1233805" cy="377825"/>
                  </a:xfrm>
                  <a:prstGeom prst="rect">
                    <a:avLst/>
                  </a:prstGeom>
                </pic:spPr>
              </pic:pic>
            </a:graphicData>
          </a:graphic>
        </wp:anchor>
      </w:drawing>
    </w:r>
    <w:r>
      <w:rPr>
        <w:b/>
      </w:rPr>
      <w:t>–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tabs>
        <w:tab w:val="right" w:pos="9901"/>
      </w:tabs>
      <w:spacing w:after="0" w:line="259" w:lineRule="auto"/>
      <w:ind w:left="0" w:firstLine="0"/>
      <w:jc w:val="left"/>
    </w:pPr>
    <w:r>
      <w:rPr>
        <w:noProof/>
      </w:rPr>
      <w:drawing>
        <wp:anchor distT="0" distB="0" distL="114300" distR="114300" simplePos="0" relativeHeight="251660288"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1233805" cy="377825"/>
                  </a:xfrm>
                  <a:prstGeom prst="rect">
                    <a:avLst/>
                  </a:prstGeom>
                </pic:spPr>
              </pic:pic>
            </a:graphicData>
          </a:graphic>
        </wp:anchor>
      </w:drawing>
    </w:r>
    <w:r>
      <w:rPr>
        <w:b/>
      </w:rPr>
      <w:tab/>
    </w:r>
    <w:r>
      <w:rPr>
        <w:rFonts w:ascii="Times New Roman" w:eastAsia="Times New Roman" w:hAnsi="Times New Roman" w:cs="Times New Roman"/>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10" w:firstLine="0"/>
      <w:jc w:val="right"/>
    </w:pPr>
    <w:r>
      <w:rPr>
        <w:noProof/>
      </w:rPr>
      <w:drawing>
        <wp:anchor distT="0" distB="0" distL="114300" distR="114300" simplePos="0" relativeHeight="251661312"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10" w:firstLine="0"/>
      <w:jc w:val="right"/>
    </w:pPr>
    <w:r>
      <w:rPr>
        <w:noProof/>
      </w:rPr>
      <w:drawing>
        <wp:anchor distT="0" distB="0" distL="114300" distR="114300" simplePos="0" relativeHeight="251662336"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2"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firstLine="0"/>
      <w:jc w:val="left"/>
    </w:pPr>
    <w:r>
      <w:rPr>
        <w:noProof/>
      </w:rPr>
      <w:drawing>
        <wp:anchor distT="0" distB="0" distL="114300" distR="114300" simplePos="0" relativeHeight="25166336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648" name="Picture 648"/>
          <wp:cNvGraphicFramePr/>
          <a:graphic xmlns:a="http://schemas.openxmlformats.org/drawingml/2006/main">
            <a:graphicData uri="http://schemas.openxmlformats.org/drawingml/2006/picture">
              <pic:pic xmlns:pic="http://schemas.openxmlformats.org/drawingml/2006/picture">
                <pic:nvPicPr>
                  <pic:cNvPr id="648" name="Picture 648"/>
                  <pic:cNvPicPr/>
                </pic:nvPicPr>
                <pic:blipFill>
                  <a:blip r:embed="rId1"/>
                  <a:stretch>
                    <a:fillRect/>
                  </a:stretch>
                </pic:blipFill>
                <pic:spPr>
                  <a:xfrm>
                    <a:off x="0" y="0"/>
                    <a:ext cx="1233805" cy="377825"/>
                  </a:xfrm>
                  <a:prstGeom prst="rect">
                    <a:avLst/>
                  </a:prstGeom>
                </pic:spPr>
              </pic:pic>
            </a:graphicData>
          </a:graphic>
        </wp:anchor>
      </w:drawing>
    </w:r>
    <w:r>
      <w:rPr>
        <w:b/>
      </w:rPr>
      <w:t xml:space="preserve">Všeobecné nákupní podmínky společnosti E.ON Czech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D3270"/>
    <w:multiLevelType w:val="multilevel"/>
    <w:tmpl w:val="82CA125A"/>
    <w:lvl w:ilvl="0">
      <w:start w:val="1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8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92258B3"/>
    <w:multiLevelType w:val="hybridMultilevel"/>
    <w:tmpl w:val="0B1A2B60"/>
    <w:lvl w:ilvl="0" w:tplc="7C401F04">
      <w:start w:val="1"/>
      <w:numFmt w:val="lowerLetter"/>
      <w:lvlText w:val="%1."/>
      <w:lvlJc w:val="left"/>
      <w:pPr>
        <w:ind w:left="14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B4EBD80">
      <w:start w:val="1"/>
      <w:numFmt w:val="lowerLetter"/>
      <w:lvlText w:val="%2"/>
      <w:lvlJc w:val="left"/>
      <w:pPr>
        <w:ind w:left="21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28883A2">
      <w:start w:val="1"/>
      <w:numFmt w:val="lowerRoman"/>
      <w:lvlText w:val="%3"/>
      <w:lvlJc w:val="left"/>
      <w:pPr>
        <w:ind w:left="28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4EEF392">
      <w:start w:val="1"/>
      <w:numFmt w:val="decimal"/>
      <w:lvlText w:val="%4"/>
      <w:lvlJc w:val="left"/>
      <w:pPr>
        <w:ind w:left="36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BB08BD34">
      <w:start w:val="1"/>
      <w:numFmt w:val="lowerLetter"/>
      <w:lvlText w:val="%5"/>
      <w:lvlJc w:val="left"/>
      <w:pPr>
        <w:ind w:left="43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6E2D724">
      <w:start w:val="1"/>
      <w:numFmt w:val="lowerRoman"/>
      <w:lvlText w:val="%6"/>
      <w:lvlJc w:val="left"/>
      <w:pPr>
        <w:ind w:left="50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0B2E8B2">
      <w:start w:val="1"/>
      <w:numFmt w:val="decimal"/>
      <w:lvlText w:val="%7"/>
      <w:lvlJc w:val="left"/>
      <w:pPr>
        <w:ind w:left="57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8F45368">
      <w:start w:val="1"/>
      <w:numFmt w:val="lowerLetter"/>
      <w:lvlText w:val="%8"/>
      <w:lvlJc w:val="left"/>
      <w:pPr>
        <w:ind w:left="64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BE08B98">
      <w:start w:val="1"/>
      <w:numFmt w:val="lowerRoman"/>
      <w:lvlText w:val="%9"/>
      <w:lvlJc w:val="left"/>
      <w:pPr>
        <w:ind w:left="72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ACC48E0"/>
    <w:multiLevelType w:val="hybridMultilevel"/>
    <w:tmpl w:val="09567E0E"/>
    <w:lvl w:ilvl="0" w:tplc="56F44D1E">
      <w:start w:val="1"/>
      <w:numFmt w:val="lowerLetter"/>
      <w:lvlText w:val="%1."/>
      <w:lvlJc w:val="left"/>
      <w:pPr>
        <w:ind w:left="15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57C9C80">
      <w:start w:val="1"/>
      <w:numFmt w:val="lowerLetter"/>
      <w:lvlText w:val="%2"/>
      <w:lvlJc w:val="left"/>
      <w:pPr>
        <w:ind w:left="22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61CB40A">
      <w:start w:val="1"/>
      <w:numFmt w:val="lowerRoman"/>
      <w:lvlText w:val="%3"/>
      <w:lvlJc w:val="left"/>
      <w:pPr>
        <w:ind w:left="29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F9A6B3E">
      <w:start w:val="1"/>
      <w:numFmt w:val="decimal"/>
      <w:lvlText w:val="%4"/>
      <w:lvlJc w:val="left"/>
      <w:pPr>
        <w:ind w:left="36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4A051E2">
      <w:start w:val="1"/>
      <w:numFmt w:val="lowerLetter"/>
      <w:lvlText w:val="%5"/>
      <w:lvlJc w:val="left"/>
      <w:pPr>
        <w:ind w:left="44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F98A3FC">
      <w:start w:val="1"/>
      <w:numFmt w:val="lowerRoman"/>
      <w:lvlText w:val="%6"/>
      <w:lvlJc w:val="left"/>
      <w:pPr>
        <w:ind w:left="51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73B09FB4">
      <w:start w:val="1"/>
      <w:numFmt w:val="decimal"/>
      <w:lvlText w:val="%7"/>
      <w:lvlJc w:val="left"/>
      <w:pPr>
        <w:ind w:left="58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D084064">
      <w:start w:val="1"/>
      <w:numFmt w:val="lowerLetter"/>
      <w:lvlText w:val="%8"/>
      <w:lvlJc w:val="left"/>
      <w:pPr>
        <w:ind w:left="65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D10B6EE">
      <w:start w:val="1"/>
      <w:numFmt w:val="lowerRoman"/>
      <w:lvlText w:val="%9"/>
      <w:lvlJc w:val="left"/>
      <w:pPr>
        <w:ind w:left="72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205448E"/>
    <w:multiLevelType w:val="hybridMultilevel"/>
    <w:tmpl w:val="73EEF832"/>
    <w:lvl w:ilvl="0" w:tplc="4AA2B6FA">
      <w:start w:val="1"/>
      <w:numFmt w:val="bullet"/>
      <w:lvlText w:val="-"/>
      <w:lvlJc w:val="left"/>
      <w:pPr>
        <w:ind w:left="7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3D057E0">
      <w:start w:val="1"/>
      <w:numFmt w:val="bullet"/>
      <w:lvlText w:val="o"/>
      <w:lvlJc w:val="left"/>
      <w:pPr>
        <w:ind w:left="18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4529FE0">
      <w:start w:val="1"/>
      <w:numFmt w:val="bullet"/>
      <w:lvlText w:val="▪"/>
      <w:lvlJc w:val="left"/>
      <w:pPr>
        <w:ind w:left="25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62A9068">
      <w:start w:val="1"/>
      <w:numFmt w:val="bullet"/>
      <w:lvlText w:val="•"/>
      <w:lvlJc w:val="left"/>
      <w:pPr>
        <w:ind w:left="32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CCE31F4">
      <w:start w:val="1"/>
      <w:numFmt w:val="bullet"/>
      <w:lvlText w:val="o"/>
      <w:lvlJc w:val="left"/>
      <w:pPr>
        <w:ind w:left="39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FA872EE">
      <w:start w:val="1"/>
      <w:numFmt w:val="bullet"/>
      <w:lvlText w:val="▪"/>
      <w:lvlJc w:val="left"/>
      <w:pPr>
        <w:ind w:left="46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024F6DA">
      <w:start w:val="1"/>
      <w:numFmt w:val="bullet"/>
      <w:lvlText w:val="•"/>
      <w:lvlJc w:val="left"/>
      <w:pPr>
        <w:ind w:left="54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FD0A214">
      <w:start w:val="1"/>
      <w:numFmt w:val="bullet"/>
      <w:lvlText w:val="o"/>
      <w:lvlJc w:val="left"/>
      <w:pPr>
        <w:ind w:left="6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9F82AC6">
      <w:start w:val="1"/>
      <w:numFmt w:val="bullet"/>
      <w:lvlText w:val="▪"/>
      <w:lvlJc w:val="left"/>
      <w:pPr>
        <w:ind w:left="6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47F4359"/>
    <w:multiLevelType w:val="multilevel"/>
    <w:tmpl w:val="F12E14CA"/>
    <w:lvl w:ilvl="0">
      <w:start w:val="2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80D457F"/>
    <w:multiLevelType w:val="multilevel"/>
    <w:tmpl w:val="DE2265EA"/>
    <w:lvl w:ilvl="0">
      <w:start w:val="15"/>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8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3A15411"/>
    <w:multiLevelType w:val="multilevel"/>
    <w:tmpl w:val="B73030D8"/>
    <w:lvl w:ilvl="0">
      <w:start w:val="19"/>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6"/>
      <w:numFmt w:val="decimal"/>
      <w:lvlRestart w:val="0"/>
      <w:lvlText w:val="%1.%2."/>
      <w:lvlJc w:val="left"/>
      <w:pPr>
        <w:ind w:left="8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EED5C10"/>
    <w:multiLevelType w:val="hybridMultilevel"/>
    <w:tmpl w:val="455C2F2A"/>
    <w:lvl w:ilvl="0" w:tplc="CEBECDAE">
      <w:start w:val="1"/>
      <w:numFmt w:val="lowerLetter"/>
      <w:lvlText w:val="%1)"/>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1A40BB6">
      <w:start w:val="1"/>
      <w:numFmt w:val="lowerLetter"/>
      <w:lvlText w:val="%2"/>
      <w:lvlJc w:val="left"/>
      <w:pPr>
        <w:ind w:left="18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BAAD9CE">
      <w:start w:val="1"/>
      <w:numFmt w:val="lowerRoman"/>
      <w:lvlText w:val="%3"/>
      <w:lvlJc w:val="left"/>
      <w:pPr>
        <w:ind w:left="25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A8ACCA8">
      <w:start w:val="1"/>
      <w:numFmt w:val="decimal"/>
      <w:lvlText w:val="%4"/>
      <w:lvlJc w:val="left"/>
      <w:pPr>
        <w:ind w:left="33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7F28922">
      <w:start w:val="1"/>
      <w:numFmt w:val="lowerLetter"/>
      <w:lvlText w:val="%5"/>
      <w:lvlJc w:val="left"/>
      <w:pPr>
        <w:ind w:left="40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DF41EF6">
      <w:start w:val="1"/>
      <w:numFmt w:val="lowerRoman"/>
      <w:lvlText w:val="%6"/>
      <w:lvlJc w:val="left"/>
      <w:pPr>
        <w:ind w:left="47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7162296">
      <w:start w:val="1"/>
      <w:numFmt w:val="decimal"/>
      <w:lvlText w:val="%7"/>
      <w:lvlJc w:val="left"/>
      <w:pPr>
        <w:ind w:left="54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48101A5A">
      <w:start w:val="1"/>
      <w:numFmt w:val="lowerLetter"/>
      <w:lvlText w:val="%8"/>
      <w:lvlJc w:val="left"/>
      <w:pPr>
        <w:ind w:left="61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AD45FF8">
      <w:start w:val="1"/>
      <w:numFmt w:val="lowerRoman"/>
      <w:lvlText w:val="%9"/>
      <w:lvlJc w:val="left"/>
      <w:pPr>
        <w:ind w:left="69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497C57"/>
    <w:multiLevelType w:val="hybridMultilevel"/>
    <w:tmpl w:val="DE52AECA"/>
    <w:lvl w:ilvl="0" w:tplc="1B8AE222">
      <w:start w:val="1"/>
      <w:numFmt w:val="bullet"/>
      <w:lvlText w:val="-"/>
      <w:lvlJc w:val="left"/>
      <w:pPr>
        <w:ind w:left="895"/>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E8AA7A90">
      <w:start w:val="1"/>
      <w:numFmt w:val="bullet"/>
      <w:lvlText w:val="o"/>
      <w:lvlJc w:val="left"/>
      <w:pPr>
        <w:ind w:left="18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B80C274">
      <w:start w:val="1"/>
      <w:numFmt w:val="bullet"/>
      <w:lvlText w:val="▪"/>
      <w:lvlJc w:val="left"/>
      <w:pPr>
        <w:ind w:left="25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8C9A61DE">
      <w:start w:val="1"/>
      <w:numFmt w:val="bullet"/>
      <w:lvlText w:val="•"/>
      <w:lvlJc w:val="left"/>
      <w:pPr>
        <w:ind w:left="33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EFA29F50">
      <w:start w:val="1"/>
      <w:numFmt w:val="bullet"/>
      <w:lvlText w:val="o"/>
      <w:lvlJc w:val="left"/>
      <w:pPr>
        <w:ind w:left="403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6BC6F552">
      <w:start w:val="1"/>
      <w:numFmt w:val="bullet"/>
      <w:lvlText w:val="▪"/>
      <w:lvlJc w:val="left"/>
      <w:pPr>
        <w:ind w:left="475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0B36761C">
      <w:start w:val="1"/>
      <w:numFmt w:val="bullet"/>
      <w:lvlText w:val="•"/>
      <w:lvlJc w:val="left"/>
      <w:pPr>
        <w:ind w:left="54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12C9766">
      <w:start w:val="1"/>
      <w:numFmt w:val="bullet"/>
      <w:lvlText w:val="o"/>
      <w:lvlJc w:val="left"/>
      <w:pPr>
        <w:ind w:left="61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BF14FDA6">
      <w:start w:val="1"/>
      <w:numFmt w:val="bullet"/>
      <w:lvlText w:val="▪"/>
      <w:lvlJc w:val="left"/>
      <w:pPr>
        <w:ind w:left="69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9" w15:restartNumberingAfterBreak="0">
    <w:nsid w:val="46917002"/>
    <w:multiLevelType w:val="hybridMultilevel"/>
    <w:tmpl w:val="7EC820B0"/>
    <w:lvl w:ilvl="0" w:tplc="87147B4A">
      <w:start w:val="1"/>
      <w:numFmt w:val="bullet"/>
      <w:lvlText w:val="•"/>
      <w:lvlJc w:val="left"/>
      <w:pPr>
        <w:ind w:left="349"/>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1" w:tplc="6860980A">
      <w:start w:val="1"/>
      <w:numFmt w:val="bullet"/>
      <w:lvlText w:val="o"/>
      <w:lvlJc w:val="left"/>
      <w:pPr>
        <w:ind w:left="22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2" w:tplc="63E24F7A">
      <w:start w:val="1"/>
      <w:numFmt w:val="bullet"/>
      <w:lvlText w:val="▪"/>
      <w:lvlJc w:val="left"/>
      <w:pPr>
        <w:ind w:left="29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3" w:tplc="8F600110">
      <w:start w:val="1"/>
      <w:numFmt w:val="bullet"/>
      <w:lvlText w:val="•"/>
      <w:lvlJc w:val="left"/>
      <w:pPr>
        <w:ind w:left="36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4" w:tplc="0EB8227E">
      <w:start w:val="1"/>
      <w:numFmt w:val="bullet"/>
      <w:lvlText w:val="o"/>
      <w:lvlJc w:val="left"/>
      <w:pPr>
        <w:ind w:left="441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5" w:tplc="A8C07474">
      <w:start w:val="1"/>
      <w:numFmt w:val="bullet"/>
      <w:lvlText w:val="▪"/>
      <w:lvlJc w:val="left"/>
      <w:pPr>
        <w:ind w:left="513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6" w:tplc="EC46E850">
      <w:start w:val="1"/>
      <w:numFmt w:val="bullet"/>
      <w:lvlText w:val="•"/>
      <w:lvlJc w:val="left"/>
      <w:pPr>
        <w:ind w:left="58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7" w:tplc="CFAA5BA8">
      <w:start w:val="1"/>
      <w:numFmt w:val="bullet"/>
      <w:lvlText w:val="o"/>
      <w:lvlJc w:val="left"/>
      <w:pPr>
        <w:ind w:left="65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8" w:tplc="ADFE9FFE">
      <w:start w:val="1"/>
      <w:numFmt w:val="bullet"/>
      <w:lvlText w:val="▪"/>
      <w:lvlJc w:val="left"/>
      <w:pPr>
        <w:ind w:left="72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abstractNum>
  <w:abstractNum w:abstractNumId="10" w15:restartNumberingAfterBreak="0">
    <w:nsid w:val="684E4CD5"/>
    <w:multiLevelType w:val="hybridMultilevel"/>
    <w:tmpl w:val="AF7A5C64"/>
    <w:lvl w:ilvl="0" w:tplc="F622F84E">
      <w:start w:val="1"/>
      <w:numFmt w:val="lowerLetter"/>
      <w:lvlText w:val="%1."/>
      <w:lvlJc w:val="left"/>
      <w:pPr>
        <w:ind w:left="15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220BDF8">
      <w:start w:val="1"/>
      <w:numFmt w:val="lowerLetter"/>
      <w:lvlText w:val="%2"/>
      <w:lvlJc w:val="left"/>
      <w:pPr>
        <w:ind w:left="22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A4C4CD2">
      <w:start w:val="1"/>
      <w:numFmt w:val="lowerRoman"/>
      <w:lvlText w:val="%3"/>
      <w:lvlJc w:val="left"/>
      <w:pPr>
        <w:ind w:left="29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60C2DDC">
      <w:start w:val="1"/>
      <w:numFmt w:val="decimal"/>
      <w:lvlText w:val="%4"/>
      <w:lvlJc w:val="left"/>
      <w:pPr>
        <w:ind w:left="3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E144C0C">
      <w:start w:val="1"/>
      <w:numFmt w:val="lowerLetter"/>
      <w:lvlText w:val="%5"/>
      <w:lvlJc w:val="left"/>
      <w:pPr>
        <w:ind w:left="44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9888230">
      <w:start w:val="1"/>
      <w:numFmt w:val="lowerRoman"/>
      <w:lvlText w:val="%6"/>
      <w:lvlJc w:val="left"/>
      <w:pPr>
        <w:ind w:left="51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AD26806">
      <w:start w:val="1"/>
      <w:numFmt w:val="decimal"/>
      <w:lvlText w:val="%7"/>
      <w:lvlJc w:val="left"/>
      <w:pPr>
        <w:ind w:left="58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9463ED0">
      <w:start w:val="1"/>
      <w:numFmt w:val="lowerLetter"/>
      <w:lvlText w:val="%8"/>
      <w:lvlJc w:val="left"/>
      <w:pPr>
        <w:ind w:left="65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342B416">
      <w:start w:val="1"/>
      <w:numFmt w:val="lowerRoman"/>
      <w:lvlText w:val="%9"/>
      <w:lvlJc w:val="left"/>
      <w:pPr>
        <w:ind w:left="72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9"/>
  </w:num>
  <w:num w:numId="2">
    <w:abstractNumId w:val="7"/>
  </w:num>
  <w:num w:numId="3">
    <w:abstractNumId w:val="0"/>
  </w:num>
  <w:num w:numId="4">
    <w:abstractNumId w:val="8"/>
  </w:num>
  <w:num w:numId="5">
    <w:abstractNumId w:val="5"/>
  </w:num>
  <w:num w:numId="6">
    <w:abstractNumId w:val="1"/>
  </w:num>
  <w:num w:numId="7">
    <w:abstractNumId w:val="10"/>
  </w:num>
  <w:num w:numId="8">
    <w:abstractNumId w:val="2"/>
  </w:num>
  <w:num w:numId="9">
    <w:abstractNumId w:val="6"/>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E92"/>
    <w:rsid w:val="00275DAC"/>
    <w:rsid w:val="00697E92"/>
    <w:rsid w:val="006C7AE9"/>
    <w:rsid w:val="009B6308"/>
    <w:rsid w:val="00AE41AE"/>
    <w:rsid w:val="00D051DE"/>
    <w:rsid w:val="00D54D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97698"/>
  <w15:docId w15:val="{47E78338-9B1F-4F27-9CC6-64E7C3F11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5" w:line="228" w:lineRule="auto"/>
      <w:ind w:left="370" w:hanging="5"/>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0" w:line="265" w:lineRule="auto"/>
      <w:ind w:left="4268" w:hanging="10"/>
      <w:outlineLvl w:val="0"/>
    </w:pPr>
    <w:rPr>
      <w:rFonts w:ascii="Calibri" w:eastAsia="Calibri" w:hAnsi="Calibri" w:cs="Calibri"/>
      <w:b/>
      <w:color w:val="000000"/>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hlav">
    <w:name w:val="header"/>
    <w:basedOn w:val="Normln"/>
    <w:link w:val="ZhlavChar"/>
    <w:unhideWhenUsed/>
    <w:rsid w:val="009B6308"/>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9B6308"/>
    <w:rPr>
      <w:rFonts w:ascii="Arial" w:eastAsia="Times New Roman" w:hAnsi="Arial" w:cs="Arial"/>
      <w:color w:val="000000"/>
      <w:spacing w:val="-6"/>
      <w:sz w:val="20"/>
      <w:szCs w:val="20"/>
    </w:rPr>
  </w:style>
  <w:style w:type="paragraph" w:styleId="Zpat">
    <w:name w:val="footer"/>
    <w:basedOn w:val="Normln"/>
    <w:link w:val="ZpatChar"/>
    <w:uiPriority w:val="99"/>
    <w:unhideWhenUsed/>
    <w:rsid w:val="009B6308"/>
    <w:pPr>
      <w:tabs>
        <w:tab w:val="center" w:pos="4536"/>
        <w:tab w:val="right" w:pos="9072"/>
      </w:tabs>
      <w:spacing w:after="0" w:line="240" w:lineRule="auto"/>
    </w:pPr>
  </w:style>
  <w:style w:type="character" w:customStyle="1" w:styleId="ZpatChar">
    <w:name w:val="Zápatí Char"/>
    <w:basedOn w:val="Standardnpsmoodstavce"/>
    <w:link w:val="Zpat"/>
    <w:uiPriority w:val="99"/>
    <w:rsid w:val="009B6308"/>
    <w:rPr>
      <w:rFonts w:ascii="Calibri" w:eastAsia="Calibri" w:hAnsi="Calibri" w:cs="Calibri"/>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http://www.eon.cz/o-nas/o-skupine-eon/pro-partnery/vseobecne-nakupni-podminky" TargetMode="External"/><Relationship Id="rId18" Type="http://schemas.openxmlformats.org/officeDocument/2006/relationships/hyperlink" Target="http://www.eon.cz/o-nas/o-skupine-eon/pro-partnery/vseobecne-nakupni-podminky" TargetMode="External"/><Relationship Id="rId26" Type="http://schemas.openxmlformats.org/officeDocument/2006/relationships/hyperlink" Target="https://ti.eon.cz/partnersky-portal/api/files/INTCZ-62-110" TargetMode="External"/><Relationship Id="rId3" Type="http://schemas.openxmlformats.org/officeDocument/2006/relationships/settings" Target="settings.xml"/><Relationship Id="rId21" Type="http://schemas.openxmlformats.org/officeDocument/2006/relationships/hyperlink" Target="http://www.eon.cz/o-nas/o-skupine-eon/pro-partnery/vseobecne-nakupni-podminky" TargetMode="External"/><Relationship Id="rId7" Type="http://schemas.openxmlformats.org/officeDocument/2006/relationships/hyperlink" Target="https://www.eon-einkauf.com/content/dam/eon/eon-einkauf/documents/en/Terms_and_Conditions/Lieferantenkodex_EN_incl_Unterschrift.pdf" TargetMode="External"/><Relationship Id="rId12" Type="http://schemas.openxmlformats.org/officeDocument/2006/relationships/hyperlink" Target="http://www.eon.cz/o-nas/o-skupine-eon/pro-partnery/vseobecne-nakupni-podminky" TargetMode="External"/><Relationship Id="rId17" Type="http://schemas.openxmlformats.org/officeDocument/2006/relationships/hyperlink" Target="http://www.eon.cz/o-nas/o-skupine-eon/pro-partnery/vseobecne-nakupni-podminky" TargetMode="External"/><Relationship Id="rId25" Type="http://schemas.openxmlformats.org/officeDocument/2006/relationships/hyperlink" Target="https://ti.eon.cz/partnersky-portal/api/files/INTCZ-62-110"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on.cz/o-nas/o-skupine-eon/pro-partnery/vseobecne-nakupni-podminky" TargetMode="External"/><Relationship Id="rId20" Type="http://schemas.openxmlformats.org/officeDocument/2006/relationships/hyperlink" Target="http://www.eon.cz/o-nas/o-skupine-eon/pro-partnery/vseobecne-nakupni-podminky" TargetMode="External"/><Relationship Id="rId29"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ti.eon.cz/partnersky-portal/api/files/INTCZ-62-11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on.cz/o-nas/o-skupine-eon/pro-partnery/vseobecne-nakupni-podminky" TargetMode="External"/><Relationship Id="rId23" Type="http://schemas.openxmlformats.org/officeDocument/2006/relationships/hyperlink" Target="https://ti.eon.cz/partnersky-portal/api/files/INTCZ-62-110" TargetMode="External"/><Relationship Id="rId28" Type="http://schemas.openxmlformats.org/officeDocument/2006/relationships/hyperlink" Target="https://ti.eon.cz/partnersky-portal/api/files/INTCZ-62-110" TargetMode="External"/><Relationship Id="rId10" Type="http://schemas.openxmlformats.org/officeDocument/2006/relationships/header" Target="header2.xml"/><Relationship Id="rId19" Type="http://schemas.openxmlformats.org/officeDocument/2006/relationships/hyperlink" Target="http://www.eon.cz/o-nas/o-skupine-eon/pro-partnery/vseobecne-nakupni-podminky" TargetMode="External"/><Relationship Id="rId31"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eon.cz/o-nas/o-skupine-eon/pro-partnery/vseobecne-nakupni-podminky" TargetMode="External"/><Relationship Id="rId22" Type="http://schemas.openxmlformats.org/officeDocument/2006/relationships/hyperlink" Target="https://ti.eon.cz/partnersky-portal/api/files/INTCZ-62-110" TargetMode="External"/><Relationship Id="rId27" Type="http://schemas.openxmlformats.org/officeDocument/2006/relationships/hyperlink" Target="https://ti.eon.cz/partnersky-portal/api/files/INTCZ-62-110" TargetMode="External"/><Relationship Id="rId30"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8111</Words>
  <Characters>47860</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Jagošová, Alena</cp:lastModifiedBy>
  <cp:revision>3</cp:revision>
  <dcterms:created xsi:type="dcterms:W3CDTF">2020-04-29T08:03:00Z</dcterms:created>
  <dcterms:modified xsi:type="dcterms:W3CDTF">2020-04-29T08:04:00Z</dcterms:modified>
</cp:coreProperties>
</file>